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28"/>
          <w:szCs w:val="28"/>
          <w:lang w:val="en-US" w:eastAsia="zh-CN"/>
        </w:rPr>
        <w:t xml:space="preserve">附件2                    </w:t>
      </w:r>
      <w:r>
        <w:rPr>
          <w:rFonts w:hint="eastAsia" w:ascii="方正小标宋简体" w:hAnsi="方正小标宋简体" w:eastAsia="方正小标宋简体" w:cs="方正小标宋简体"/>
          <w:sz w:val="44"/>
          <w:szCs w:val="44"/>
          <w:lang w:val="en-US" w:eastAsia="zh-CN"/>
        </w:rPr>
        <w:t>朔城区商务局行政执法事项清单</w:t>
      </w:r>
    </w:p>
    <w:tbl>
      <w:tblPr>
        <w:tblStyle w:val="5"/>
        <w:tblW w:w="14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712"/>
        <w:gridCol w:w="1150"/>
        <w:gridCol w:w="500"/>
        <w:gridCol w:w="650"/>
        <w:gridCol w:w="675"/>
        <w:gridCol w:w="625"/>
        <w:gridCol w:w="638"/>
        <w:gridCol w:w="687"/>
        <w:gridCol w:w="1550"/>
        <w:gridCol w:w="513"/>
        <w:gridCol w:w="437"/>
        <w:gridCol w:w="688"/>
        <w:gridCol w:w="650"/>
        <w:gridCol w:w="687"/>
        <w:gridCol w:w="3488"/>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31" w:type="dxa"/>
            <w:vMerge w:val="restart"/>
            <w:vAlign w:val="center"/>
          </w:tcPr>
          <w:p>
            <w:pPr>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序号</w:t>
            </w:r>
          </w:p>
        </w:tc>
        <w:tc>
          <w:tcPr>
            <w:tcW w:w="712" w:type="dxa"/>
            <w:vMerge w:val="restart"/>
            <w:vAlign w:val="center"/>
          </w:tcPr>
          <w:p>
            <w:pPr>
              <w:ind w:left="210" w:hanging="180" w:hangingChars="100"/>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事项</w:t>
            </w:r>
          </w:p>
          <w:p>
            <w:pPr>
              <w:ind w:left="210" w:hanging="180" w:hangingChars="100"/>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编码</w:t>
            </w:r>
          </w:p>
        </w:tc>
        <w:tc>
          <w:tcPr>
            <w:tcW w:w="1150" w:type="dxa"/>
            <w:vMerge w:val="restart"/>
            <w:vAlign w:val="center"/>
          </w:tcPr>
          <w:p>
            <w:pPr>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项目名称</w:t>
            </w:r>
          </w:p>
        </w:tc>
        <w:tc>
          <w:tcPr>
            <w:tcW w:w="500" w:type="dxa"/>
            <w:vMerge w:val="restart"/>
            <w:vAlign w:val="center"/>
          </w:tcPr>
          <w:p>
            <w:pPr>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执法</w:t>
            </w:r>
          </w:p>
          <w:p>
            <w:pPr>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类别</w:t>
            </w:r>
          </w:p>
        </w:tc>
        <w:tc>
          <w:tcPr>
            <w:tcW w:w="650" w:type="dxa"/>
            <w:vMerge w:val="restart"/>
            <w:vAlign w:val="center"/>
          </w:tcPr>
          <w:p>
            <w:pPr>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执法</w:t>
            </w:r>
          </w:p>
          <w:p>
            <w:pPr>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主体</w:t>
            </w:r>
          </w:p>
        </w:tc>
        <w:tc>
          <w:tcPr>
            <w:tcW w:w="675" w:type="dxa"/>
            <w:vMerge w:val="restart"/>
            <w:vAlign w:val="center"/>
          </w:tcPr>
          <w:p>
            <w:pPr>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承办机 构</w:t>
            </w:r>
          </w:p>
        </w:tc>
        <w:tc>
          <w:tcPr>
            <w:tcW w:w="4450" w:type="dxa"/>
            <w:gridSpan w:val="6"/>
            <w:vAlign w:val="center"/>
          </w:tcPr>
          <w:p>
            <w:pPr>
              <w:ind w:firstLine="1260" w:firstLineChars="700"/>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执法依据</w:t>
            </w:r>
          </w:p>
        </w:tc>
        <w:tc>
          <w:tcPr>
            <w:tcW w:w="688" w:type="dxa"/>
            <w:vMerge w:val="restart"/>
            <w:vAlign w:val="center"/>
          </w:tcPr>
          <w:p>
            <w:pPr>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实施对 象</w:t>
            </w:r>
          </w:p>
        </w:tc>
        <w:tc>
          <w:tcPr>
            <w:tcW w:w="1337" w:type="dxa"/>
            <w:gridSpan w:val="2"/>
            <w:vAlign w:val="center"/>
          </w:tcPr>
          <w:p>
            <w:pPr>
              <w:ind w:firstLine="180" w:firstLineChars="100"/>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办理时限</w:t>
            </w:r>
          </w:p>
        </w:tc>
        <w:tc>
          <w:tcPr>
            <w:tcW w:w="3488" w:type="dxa"/>
            <w:vMerge w:val="restart"/>
            <w:vAlign w:val="center"/>
          </w:tcPr>
          <w:p>
            <w:pPr>
              <w:ind w:firstLine="745" w:firstLineChars="414"/>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收费依据和标准</w:t>
            </w:r>
          </w:p>
        </w:tc>
        <w:tc>
          <w:tcPr>
            <w:tcW w:w="534" w:type="dxa"/>
            <w:vMerge w:val="restart"/>
            <w:vAlign w:val="center"/>
          </w:tcPr>
          <w:p>
            <w:pPr>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431" w:type="dxa"/>
            <w:vMerge w:val="continue"/>
            <w:vAlign w:val="center"/>
          </w:tcPr>
          <w:p>
            <w:pPr>
              <w:jc w:val="both"/>
              <w:rPr>
                <w:rFonts w:hint="eastAsia" w:ascii="仿宋" w:hAnsi="仿宋" w:eastAsia="仿宋" w:cs="仿宋"/>
                <w:sz w:val="18"/>
                <w:szCs w:val="18"/>
                <w:vertAlign w:val="baseline"/>
                <w:lang w:val="en-US" w:eastAsia="zh-CN"/>
              </w:rPr>
            </w:pPr>
          </w:p>
        </w:tc>
        <w:tc>
          <w:tcPr>
            <w:tcW w:w="712" w:type="dxa"/>
            <w:vMerge w:val="continue"/>
            <w:vAlign w:val="center"/>
          </w:tcPr>
          <w:p>
            <w:pPr>
              <w:jc w:val="both"/>
              <w:rPr>
                <w:rFonts w:hint="eastAsia" w:ascii="仿宋" w:hAnsi="仿宋" w:eastAsia="仿宋" w:cs="仿宋"/>
                <w:sz w:val="18"/>
                <w:szCs w:val="18"/>
                <w:vertAlign w:val="baseline"/>
                <w:lang w:val="en-US" w:eastAsia="zh-CN"/>
              </w:rPr>
            </w:pPr>
          </w:p>
        </w:tc>
        <w:tc>
          <w:tcPr>
            <w:tcW w:w="1150" w:type="dxa"/>
            <w:vMerge w:val="continue"/>
            <w:vAlign w:val="center"/>
          </w:tcPr>
          <w:p>
            <w:pPr>
              <w:jc w:val="both"/>
              <w:rPr>
                <w:rFonts w:hint="eastAsia" w:ascii="仿宋" w:hAnsi="仿宋" w:eastAsia="仿宋" w:cs="仿宋"/>
                <w:sz w:val="18"/>
                <w:szCs w:val="18"/>
                <w:vertAlign w:val="baseline"/>
                <w:lang w:val="en-US" w:eastAsia="zh-CN"/>
              </w:rPr>
            </w:pPr>
          </w:p>
        </w:tc>
        <w:tc>
          <w:tcPr>
            <w:tcW w:w="500" w:type="dxa"/>
            <w:vMerge w:val="continue"/>
            <w:vAlign w:val="center"/>
          </w:tcPr>
          <w:p>
            <w:pPr>
              <w:jc w:val="both"/>
              <w:rPr>
                <w:rFonts w:hint="eastAsia" w:ascii="仿宋" w:hAnsi="仿宋" w:eastAsia="仿宋" w:cs="仿宋"/>
                <w:sz w:val="18"/>
                <w:szCs w:val="18"/>
                <w:vertAlign w:val="baseline"/>
                <w:lang w:val="en-US" w:eastAsia="zh-CN"/>
              </w:rPr>
            </w:pPr>
          </w:p>
        </w:tc>
        <w:tc>
          <w:tcPr>
            <w:tcW w:w="650" w:type="dxa"/>
            <w:vMerge w:val="continue"/>
            <w:vAlign w:val="center"/>
          </w:tcPr>
          <w:p>
            <w:pPr>
              <w:jc w:val="both"/>
              <w:rPr>
                <w:rFonts w:hint="eastAsia" w:ascii="仿宋" w:hAnsi="仿宋" w:eastAsia="仿宋" w:cs="仿宋"/>
                <w:sz w:val="18"/>
                <w:szCs w:val="18"/>
                <w:vertAlign w:val="baseline"/>
                <w:lang w:val="en-US" w:eastAsia="zh-CN"/>
              </w:rPr>
            </w:pPr>
          </w:p>
        </w:tc>
        <w:tc>
          <w:tcPr>
            <w:tcW w:w="675" w:type="dxa"/>
            <w:vMerge w:val="continue"/>
            <w:vAlign w:val="center"/>
          </w:tcPr>
          <w:p>
            <w:pPr>
              <w:jc w:val="both"/>
              <w:rPr>
                <w:rFonts w:hint="eastAsia" w:ascii="仿宋" w:hAnsi="仿宋" w:eastAsia="仿宋" w:cs="仿宋"/>
                <w:sz w:val="18"/>
                <w:szCs w:val="18"/>
                <w:vertAlign w:val="baseline"/>
                <w:lang w:val="en-US" w:eastAsia="zh-CN"/>
              </w:rPr>
            </w:pPr>
          </w:p>
        </w:tc>
        <w:tc>
          <w:tcPr>
            <w:tcW w:w="625" w:type="dxa"/>
            <w:vAlign w:val="center"/>
          </w:tcPr>
          <w:p>
            <w:pPr>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法律</w:t>
            </w:r>
          </w:p>
        </w:tc>
        <w:tc>
          <w:tcPr>
            <w:tcW w:w="638" w:type="dxa"/>
            <w:vAlign w:val="center"/>
          </w:tcPr>
          <w:p>
            <w:pPr>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行政法规</w:t>
            </w:r>
          </w:p>
        </w:tc>
        <w:tc>
          <w:tcPr>
            <w:tcW w:w="687" w:type="dxa"/>
            <w:vAlign w:val="center"/>
          </w:tcPr>
          <w:p>
            <w:pPr>
              <w:ind w:left="210" w:hanging="180" w:hangingChars="100"/>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地方性法 规</w:t>
            </w:r>
          </w:p>
        </w:tc>
        <w:tc>
          <w:tcPr>
            <w:tcW w:w="1550" w:type="dxa"/>
            <w:vAlign w:val="center"/>
          </w:tcPr>
          <w:p>
            <w:pPr>
              <w:ind w:firstLine="180" w:firstLineChars="100"/>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部委规章</w:t>
            </w:r>
          </w:p>
        </w:tc>
        <w:tc>
          <w:tcPr>
            <w:tcW w:w="513" w:type="dxa"/>
            <w:vAlign w:val="center"/>
          </w:tcPr>
          <w:p>
            <w:pPr>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政府规章</w:t>
            </w:r>
          </w:p>
        </w:tc>
        <w:tc>
          <w:tcPr>
            <w:tcW w:w="437" w:type="dxa"/>
            <w:vAlign w:val="center"/>
          </w:tcPr>
          <w:p>
            <w:pPr>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规范性文件</w:t>
            </w:r>
          </w:p>
        </w:tc>
        <w:tc>
          <w:tcPr>
            <w:tcW w:w="688" w:type="dxa"/>
            <w:vMerge w:val="continue"/>
            <w:vAlign w:val="center"/>
          </w:tcPr>
          <w:p>
            <w:pPr>
              <w:jc w:val="both"/>
              <w:rPr>
                <w:rFonts w:hint="eastAsia" w:ascii="仿宋" w:hAnsi="仿宋" w:eastAsia="仿宋" w:cs="仿宋"/>
                <w:sz w:val="18"/>
                <w:szCs w:val="18"/>
                <w:vertAlign w:val="baseline"/>
                <w:lang w:val="en-US" w:eastAsia="zh-CN"/>
              </w:rPr>
            </w:pPr>
          </w:p>
        </w:tc>
        <w:tc>
          <w:tcPr>
            <w:tcW w:w="650" w:type="dxa"/>
            <w:vAlign w:val="center"/>
          </w:tcPr>
          <w:p>
            <w:pPr>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法定</w:t>
            </w:r>
          </w:p>
          <w:p>
            <w:pPr>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时限</w:t>
            </w:r>
          </w:p>
        </w:tc>
        <w:tc>
          <w:tcPr>
            <w:tcW w:w="687" w:type="dxa"/>
            <w:vAlign w:val="center"/>
          </w:tcPr>
          <w:p>
            <w:pPr>
              <w:jc w:val="both"/>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承诺时 限</w:t>
            </w:r>
          </w:p>
        </w:tc>
        <w:tc>
          <w:tcPr>
            <w:tcW w:w="3488" w:type="dxa"/>
            <w:vMerge w:val="continue"/>
            <w:vAlign w:val="center"/>
          </w:tcPr>
          <w:p>
            <w:pPr>
              <w:jc w:val="both"/>
              <w:rPr>
                <w:rFonts w:hint="eastAsia" w:ascii="仿宋" w:hAnsi="仿宋" w:eastAsia="仿宋" w:cs="仿宋"/>
                <w:sz w:val="18"/>
                <w:szCs w:val="18"/>
                <w:vertAlign w:val="baseline"/>
                <w:lang w:val="en-US" w:eastAsia="zh-CN"/>
              </w:rPr>
            </w:pPr>
          </w:p>
        </w:tc>
        <w:tc>
          <w:tcPr>
            <w:tcW w:w="534" w:type="dxa"/>
            <w:vMerge w:val="continue"/>
            <w:vAlign w:val="center"/>
          </w:tcPr>
          <w:p>
            <w:pPr>
              <w:jc w:val="both"/>
              <w:rPr>
                <w:rFonts w:hint="eastAsia" w:ascii="仿宋" w:hAnsi="仿宋" w:eastAsia="仿宋" w:cs="仿宋"/>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6" w:hRule="atLeast"/>
        </w:trPr>
        <w:tc>
          <w:tcPr>
            <w:tcW w:w="431" w:type="dxa"/>
            <w:vAlign w:val="center"/>
          </w:tcPr>
          <w:p>
            <w:pPr>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712"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1800-A-01000-140602</w:t>
            </w:r>
          </w:p>
        </w:tc>
        <w:tc>
          <w:tcPr>
            <w:tcW w:w="1150"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对外贸易经营者备案登记</w:t>
            </w:r>
          </w:p>
        </w:tc>
        <w:tc>
          <w:tcPr>
            <w:tcW w:w="500"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w:t>
            </w:r>
          </w:p>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许可</w:t>
            </w:r>
          </w:p>
        </w:tc>
        <w:tc>
          <w:tcPr>
            <w:tcW w:w="650"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朔城区商务 局</w:t>
            </w:r>
          </w:p>
        </w:tc>
        <w:tc>
          <w:tcPr>
            <w:tcW w:w="675"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商务股</w:t>
            </w:r>
          </w:p>
        </w:tc>
        <w:tc>
          <w:tcPr>
            <w:tcW w:w="625" w:type="dxa"/>
            <w:vAlign w:val="center"/>
          </w:tcPr>
          <w:p>
            <w:pPr>
              <w:jc w:val="both"/>
              <w:rPr>
                <w:rFonts w:hint="eastAsia" w:ascii="仿宋" w:hAnsi="仿宋" w:eastAsia="仿宋" w:cs="仿宋"/>
                <w:b w:val="0"/>
                <w:bCs w:val="0"/>
                <w:sz w:val="15"/>
                <w:szCs w:val="15"/>
                <w:vertAlign w:val="baseline"/>
                <w:lang w:val="en-US" w:eastAsia="zh-CN"/>
              </w:rPr>
            </w:pPr>
          </w:p>
        </w:tc>
        <w:tc>
          <w:tcPr>
            <w:tcW w:w="638" w:type="dxa"/>
            <w:vAlign w:val="center"/>
          </w:tcPr>
          <w:p>
            <w:pPr>
              <w:jc w:val="both"/>
              <w:rPr>
                <w:rFonts w:hint="eastAsia" w:ascii="仿宋" w:hAnsi="仿宋" w:eastAsia="仿宋" w:cs="仿宋"/>
                <w:b w:val="0"/>
                <w:bCs w:val="0"/>
                <w:sz w:val="15"/>
                <w:szCs w:val="15"/>
                <w:vertAlign w:val="baseline"/>
                <w:lang w:val="en-US" w:eastAsia="zh-CN"/>
              </w:rPr>
            </w:pPr>
          </w:p>
        </w:tc>
        <w:tc>
          <w:tcPr>
            <w:tcW w:w="687" w:type="dxa"/>
            <w:vAlign w:val="center"/>
          </w:tcPr>
          <w:p>
            <w:pPr>
              <w:jc w:val="both"/>
              <w:rPr>
                <w:rFonts w:hint="eastAsia" w:ascii="仿宋" w:hAnsi="仿宋" w:eastAsia="仿宋" w:cs="仿宋"/>
                <w:b w:val="0"/>
                <w:bCs w:val="0"/>
                <w:sz w:val="15"/>
                <w:szCs w:val="15"/>
                <w:vertAlign w:val="baseline"/>
                <w:lang w:val="en-US" w:eastAsia="zh-CN"/>
              </w:rPr>
            </w:pPr>
          </w:p>
        </w:tc>
        <w:tc>
          <w:tcPr>
            <w:tcW w:w="1550"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《中华人民共和国对外贸易法》《对外贸易经营者备案登记办法》（商务部2004年第14号）</w:t>
            </w:r>
          </w:p>
        </w:tc>
        <w:tc>
          <w:tcPr>
            <w:tcW w:w="513" w:type="dxa"/>
            <w:vAlign w:val="center"/>
          </w:tcPr>
          <w:p>
            <w:pPr>
              <w:jc w:val="both"/>
              <w:rPr>
                <w:rFonts w:hint="eastAsia" w:ascii="仿宋" w:hAnsi="仿宋" w:eastAsia="仿宋" w:cs="仿宋"/>
                <w:b w:val="0"/>
                <w:bCs w:val="0"/>
                <w:sz w:val="15"/>
                <w:szCs w:val="15"/>
                <w:vertAlign w:val="baseline"/>
                <w:lang w:val="en-US" w:eastAsia="zh-CN"/>
              </w:rPr>
            </w:pPr>
          </w:p>
        </w:tc>
        <w:tc>
          <w:tcPr>
            <w:tcW w:w="437" w:type="dxa"/>
            <w:vAlign w:val="center"/>
          </w:tcPr>
          <w:p>
            <w:pPr>
              <w:jc w:val="both"/>
              <w:rPr>
                <w:rFonts w:hint="eastAsia" w:ascii="仿宋" w:hAnsi="仿宋" w:eastAsia="仿宋" w:cs="仿宋"/>
                <w:b w:val="0"/>
                <w:bCs w:val="0"/>
                <w:sz w:val="15"/>
                <w:szCs w:val="15"/>
                <w:vertAlign w:val="baseline"/>
                <w:lang w:val="en-US" w:eastAsia="zh-CN"/>
              </w:rPr>
            </w:pPr>
          </w:p>
        </w:tc>
        <w:tc>
          <w:tcPr>
            <w:tcW w:w="688"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从事货物进出口或技术进出口的法人企业、个体工商户</w:t>
            </w:r>
          </w:p>
        </w:tc>
        <w:tc>
          <w:tcPr>
            <w:tcW w:w="650"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5个工作日</w:t>
            </w:r>
          </w:p>
        </w:tc>
        <w:tc>
          <w:tcPr>
            <w:tcW w:w="687"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5个工作日</w:t>
            </w:r>
          </w:p>
        </w:tc>
        <w:tc>
          <w:tcPr>
            <w:tcW w:w="3488" w:type="dxa"/>
            <w:vAlign w:val="center"/>
          </w:tcPr>
          <w:p>
            <w:pPr>
              <w:ind w:firstLine="1200" w:firstLineChars="800"/>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不涉及收费</w:t>
            </w:r>
          </w:p>
        </w:tc>
        <w:tc>
          <w:tcPr>
            <w:tcW w:w="534" w:type="dxa"/>
            <w:vAlign w:val="center"/>
          </w:tcPr>
          <w:p>
            <w:pPr>
              <w:jc w:val="both"/>
              <w:rPr>
                <w:rFonts w:hint="eastAsia" w:ascii="仿宋" w:hAnsi="仿宋" w:eastAsia="仿宋" w:cs="仿宋"/>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trPr>
        <w:tc>
          <w:tcPr>
            <w:tcW w:w="431"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712"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color w:val="000000"/>
                <w:kern w:val="0"/>
                <w:sz w:val="15"/>
                <w:szCs w:val="15"/>
              </w:rPr>
              <w:t>1800-B-00100-140602</w:t>
            </w:r>
          </w:p>
        </w:tc>
        <w:tc>
          <w:tcPr>
            <w:tcW w:w="1150"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color w:val="000000"/>
                <w:kern w:val="0"/>
                <w:sz w:val="15"/>
                <w:szCs w:val="15"/>
              </w:rPr>
              <w:t>对成品油零售经营企业涂改、倒卖、出租、出借或者以其他形式非法转让成品油经营批准证书；......违反有关技术规范要求的处罚。</w:t>
            </w:r>
          </w:p>
        </w:tc>
        <w:tc>
          <w:tcPr>
            <w:tcW w:w="500"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w:t>
            </w:r>
          </w:p>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处罚</w:t>
            </w:r>
          </w:p>
        </w:tc>
        <w:tc>
          <w:tcPr>
            <w:tcW w:w="650"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朔城区商务 局</w:t>
            </w:r>
          </w:p>
        </w:tc>
        <w:tc>
          <w:tcPr>
            <w:tcW w:w="675"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商务股</w:t>
            </w:r>
          </w:p>
        </w:tc>
        <w:tc>
          <w:tcPr>
            <w:tcW w:w="625" w:type="dxa"/>
            <w:vAlign w:val="center"/>
          </w:tcPr>
          <w:p>
            <w:pPr>
              <w:jc w:val="both"/>
              <w:rPr>
                <w:rFonts w:hint="eastAsia" w:ascii="仿宋" w:hAnsi="仿宋" w:eastAsia="仿宋" w:cs="仿宋"/>
                <w:b w:val="0"/>
                <w:bCs w:val="0"/>
                <w:sz w:val="15"/>
                <w:szCs w:val="15"/>
                <w:vertAlign w:val="baseline"/>
                <w:lang w:val="en-US" w:eastAsia="zh-CN"/>
              </w:rPr>
            </w:pPr>
          </w:p>
        </w:tc>
        <w:tc>
          <w:tcPr>
            <w:tcW w:w="638" w:type="dxa"/>
            <w:vAlign w:val="center"/>
          </w:tcPr>
          <w:p>
            <w:pPr>
              <w:jc w:val="both"/>
              <w:rPr>
                <w:rFonts w:hint="eastAsia" w:ascii="仿宋" w:hAnsi="仿宋" w:eastAsia="仿宋" w:cs="仿宋"/>
                <w:b w:val="0"/>
                <w:bCs w:val="0"/>
                <w:sz w:val="15"/>
                <w:szCs w:val="15"/>
                <w:vertAlign w:val="baseline"/>
                <w:lang w:val="en-US" w:eastAsia="zh-CN"/>
              </w:rPr>
            </w:pPr>
          </w:p>
        </w:tc>
        <w:tc>
          <w:tcPr>
            <w:tcW w:w="687" w:type="dxa"/>
            <w:vAlign w:val="center"/>
          </w:tcPr>
          <w:p>
            <w:pPr>
              <w:jc w:val="both"/>
              <w:rPr>
                <w:rFonts w:hint="eastAsia" w:ascii="仿宋" w:hAnsi="仿宋" w:eastAsia="仿宋" w:cs="仿宋"/>
                <w:b w:val="0"/>
                <w:bCs w:val="0"/>
                <w:sz w:val="15"/>
                <w:szCs w:val="15"/>
                <w:vertAlign w:val="baseline"/>
                <w:lang w:val="en-US" w:eastAsia="zh-CN"/>
              </w:rPr>
            </w:pPr>
          </w:p>
        </w:tc>
        <w:tc>
          <w:tcPr>
            <w:tcW w:w="1550" w:type="dxa"/>
            <w:vAlign w:val="center"/>
          </w:tcPr>
          <w:p>
            <w:pPr>
              <w:widowControl/>
              <w:spacing w:line="90" w:lineRule="atLeast"/>
              <w:jc w:val="left"/>
              <w:rPr>
                <w:rFonts w:hint="eastAsia" w:ascii="仿宋" w:hAnsi="仿宋" w:eastAsia="仿宋" w:cs="仿宋"/>
                <w:b w:val="0"/>
                <w:bCs w:val="0"/>
                <w:color w:val="000000"/>
                <w:kern w:val="0"/>
                <w:sz w:val="15"/>
                <w:szCs w:val="15"/>
              </w:rPr>
            </w:pPr>
            <w:r>
              <w:rPr>
                <w:rFonts w:hint="eastAsia" w:ascii="仿宋" w:hAnsi="仿宋" w:eastAsia="仿宋" w:cs="仿宋"/>
                <w:b w:val="0"/>
                <w:bCs w:val="0"/>
                <w:color w:val="000000"/>
                <w:kern w:val="0"/>
                <w:sz w:val="15"/>
                <w:szCs w:val="15"/>
              </w:rPr>
              <w:t>《商务行政处罚程序规定》(商务部令2012年第6号)第20条第2、3、4条款、第21、22、23、30、32、34、35、36、37、46、49、50、51条《成品油市场管理办法》（商务部令2006年第23号） 第30条、第43条相关规定。</w:t>
            </w:r>
          </w:p>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color w:val="000000"/>
                <w:kern w:val="0"/>
                <w:sz w:val="15"/>
                <w:szCs w:val="15"/>
              </w:rPr>
              <w:t xml:space="preserve">  </w:t>
            </w:r>
          </w:p>
        </w:tc>
        <w:tc>
          <w:tcPr>
            <w:tcW w:w="513" w:type="dxa"/>
            <w:vAlign w:val="center"/>
          </w:tcPr>
          <w:p>
            <w:pPr>
              <w:jc w:val="both"/>
              <w:rPr>
                <w:rFonts w:hint="eastAsia" w:ascii="仿宋" w:hAnsi="仿宋" w:eastAsia="仿宋" w:cs="仿宋"/>
                <w:b w:val="0"/>
                <w:bCs w:val="0"/>
                <w:sz w:val="15"/>
                <w:szCs w:val="15"/>
                <w:vertAlign w:val="baseline"/>
                <w:lang w:val="en-US" w:eastAsia="zh-CN"/>
              </w:rPr>
            </w:pPr>
          </w:p>
        </w:tc>
        <w:tc>
          <w:tcPr>
            <w:tcW w:w="437" w:type="dxa"/>
            <w:vAlign w:val="center"/>
          </w:tcPr>
          <w:p>
            <w:pPr>
              <w:jc w:val="both"/>
              <w:rPr>
                <w:rFonts w:hint="eastAsia" w:ascii="仿宋" w:hAnsi="仿宋" w:eastAsia="仿宋" w:cs="仿宋"/>
                <w:b w:val="0"/>
                <w:bCs w:val="0"/>
                <w:sz w:val="15"/>
                <w:szCs w:val="15"/>
                <w:vertAlign w:val="baseline"/>
                <w:lang w:val="en-US" w:eastAsia="zh-CN"/>
              </w:rPr>
            </w:pPr>
          </w:p>
        </w:tc>
        <w:tc>
          <w:tcPr>
            <w:tcW w:w="688" w:type="dxa"/>
            <w:vAlign w:val="center"/>
          </w:tcPr>
          <w:p>
            <w:pPr>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成品油批发零售企业</w:t>
            </w:r>
          </w:p>
        </w:tc>
        <w:tc>
          <w:tcPr>
            <w:tcW w:w="650" w:type="dxa"/>
            <w:vAlign w:val="center"/>
          </w:tcPr>
          <w:p>
            <w:pPr>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一般程序行政处罚30日内完成，需要听证的50日内完成</w:t>
            </w:r>
          </w:p>
        </w:tc>
        <w:tc>
          <w:tcPr>
            <w:tcW w:w="687"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一般程序行政处罚30日内完成，需要听证的50日内完成</w:t>
            </w:r>
          </w:p>
        </w:tc>
        <w:tc>
          <w:tcPr>
            <w:tcW w:w="3488" w:type="dxa"/>
            <w:vAlign w:val="top"/>
          </w:tcPr>
          <w:p>
            <w:pPr>
              <w:widowControl/>
              <w:spacing w:line="90" w:lineRule="atLeast"/>
              <w:jc w:val="both"/>
              <w:rPr>
                <w:rFonts w:hint="eastAsia" w:ascii="仿宋" w:hAnsi="仿宋" w:eastAsia="仿宋" w:cs="仿宋"/>
                <w:b w:val="0"/>
                <w:bCs w:val="0"/>
                <w:color w:val="000000"/>
                <w:kern w:val="0"/>
                <w:sz w:val="15"/>
                <w:szCs w:val="15"/>
              </w:rPr>
            </w:pPr>
          </w:p>
          <w:p>
            <w:pPr>
              <w:widowControl/>
              <w:spacing w:line="90" w:lineRule="atLeast"/>
              <w:jc w:val="both"/>
              <w:rPr>
                <w:rFonts w:hint="eastAsia" w:ascii="仿宋" w:hAnsi="仿宋" w:eastAsia="仿宋" w:cs="仿宋"/>
                <w:b w:val="0"/>
                <w:bCs w:val="0"/>
                <w:color w:val="000000"/>
                <w:kern w:val="0"/>
                <w:sz w:val="15"/>
                <w:szCs w:val="15"/>
              </w:rPr>
            </w:pPr>
          </w:p>
          <w:p>
            <w:pPr>
              <w:widowControl/>
              <w:spacing w:line="90" w:lineRule="atLeast"/>
              <w:jc w:val="both"/>
              <w:rPr>
                <w:rFonts w:hint="eastAsia" w:ascii="仿宋" w:hAnsi="仿宋" w:eastAsia="仿宋" w:cs="仿宋"/>
                <w:b w:val="0"/>
                <w:bCs w:val="0"/>
                <w:color w:val="000000"/>
                <w:kern w:val="0"/>
                <w:sz w:val="15"/>
                <w:szCs w:val="15"/>
              </w:rPr>
            </w:pPr>
            <w:r>
              <w:rPr>
                <w:rFonts w:hint="eastAsia" w:ascii="仿宋" w:hAnsi="仿宋" w:eastAsia="仿宋" w:cs="仿宋"/>
                <w:b w:val="0"/>
                <w:bCs w:val="0"/>
                <w:color w:val="000000"/>
                <w:kern w:val="0"/>
                <w:sz w:val="15"/>
                <w:szCs w:val="15"/>
              </w:rPr>
              <w:t>《商务行政处罚程序规定》(商务部令2012年第6号)第20条第2、3、4条款、第21、22、23、30、32、34、35、36、37、46、49、50、51条相关规定。《成品油市场管理办法》（商务部令2006年第23号） 第30条、第43条相关规定。</w:t>
            </w:r>
          </w:p>
          <w:p>
            <w:pPr>
              <w:jc w:val="both"/>
              <w:rPr>
                <w:rFonts w:hint="eastAsia" w:ascii="仿宋" w:hAnsi="仿宋" w:eastAsia="仿宋" w:cs="仿宋"/>
                <w:b w:val="0"/>
                <w:bCs w:val="0"/>
                <w:sz w:val="15"/>
                <w:szCs w:val="15"/>
                <w:vertAlign w:val="baseline"/>
                <w:lang w:val="en-US" w:eastAsia="zh-CN"/>
              </w:rPr>
            </w:pPr>
          </w:p>
        </w:tc>
        <w:tc>
          <w:tcPr>
            <w:tcW w:w="534" w:type="dxa"/>
            <w:vAlign w:val="center"/>
          </w:tcPr>
          <w:p>
            <w:pPr>
              <w:jc w:val="both"/>
              <w:rPr>
                <w:rFonts w:hint="eastAsia" w:ascii="仿宋" w:hAnsi="仿宋" w:eastAsia="仿宋" w:cs="仿宋"/>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6" w:hRule="atLeast"/>
        </w:trPr>
        <w:tc>
          <w:tcPr>
            <w:tcW w:w="431" w:type="dxa"/>
            <w:vAlign w:val="center"/>
          </w:tcPr>
          <w:p>
            <w:pPr>
              <w:jc w:val="both"/>
              <w:rPr>
                <w:rFonts w:hint="eastAsia" w:ascii="仿宋" w:hAnsi="仿宋" w:eastAsia="仿宋" w:cs="仿宋"/>
                <w:vertAlign w:val="baseline"/>
                <w:lang w:val="en-US" w:eastAsia="zh-CN"/>
              </w:rPr>
            </w:pPr>
            <w:r>
              <w:rPr>
                <w:rFonts w:hint="eastAsia"/>
                <w:vertAlign w:val="baseline"/>
                <w:lang w:val="en-US" w:eastAsia="zh-CN"/>
              </w:rPr>
              <w:t>3</w:t>
            </w:r>
          </w:p>
        </w:tc>
        <w:tc>
          <w:tcPr>
            <w:tcW w:w="712" w:type="dxa"/>
            <w:vAlign w:val="center"/>
          </w:tcPr>
          <w:p>
            <w:pPr>
              <w:jc w:val="both"/>
              <w:rPr>
                <w:rFonts w:hint="eastAsia" w:ascii="仿宋" w:hAnsi="仿宋" w:eastAsia="仿宋" w:cs="仿宋"/>
                <w:b w:val="0"/>
                <w:bCs w:val="0"/>
                <w:color w:val="000000"/>
                <w:kern w:val="0"/>
                <w:sz w:val="15"/>
                <w:szCs w:val="15"/>
              </w:rPr>
            </w:pPr>
            <w:r>
              <w:rPr>
                <w:rFonts w:hint="eastAsia" w:ascii="仿宋" w:hAnsi="仿宋" w:eastAsia="仿宋" w:cs="仿宋"/>
                <w:b w:val="0"/>
                <w:bCs w:val="0"/>
                <w:color w:val="000000"/>
                <w:kern w:val="0"/>
                <w:sz w:val="15"/>
                <w:szCs w:val="15"/>
              </w:rPr>
              <w:t>1800-B-00201-140602</w:t>
            </w:r>
          </w:p>
        </w:tc>
        <w:tc>
          <w:tcPr>
            <w:tcW w:w="1150" w:type="dxa"/>
            <w:vAlign w:val="center"/>
          </w:tcPr>
          <w:p>
            <w:pPr>
              <w:jc w:val="both"/>
              <w:rPr>
                <w:rFonts w:hint="eastAsia" w:ascii="仿宋" w:hAnsi="仿宋" w:eastAsia="仿宋" w:cs="仿宋"/>
                <w:b w:val="0"/>
                <w:bCs w:val="0"/>
                <w:color w:val="000000"/>
                <w:kern w:val="0"/>
                <w:sz w:val="15"/>
                <w:szCs w:val="15"/>
              </w:rPr>
            </w:pPr>
            <w:r>
              <w:rPr>
                <w:rFonts w:hint="eastAsia" w:ascii="仿宋" w:hAnsi="仿宋" w:eastAsia="仿宋" w:cs="仿宋"/>
                <w:b w:val="0"/>
                <w:bCs w:val="0"/>
                <w:color w:val="000000"/>
                <w:kern w:val="0"/>
                <w:sz w:val="15"/>
                <w:szCs w:val="15"/>
              </w:rPr>
              <w:t>对开展单用途卡业务的企业未按规定办理备案的处罚。</w:t>
            </w:r>
          </w:p>
        </w:tc>
        <w:tc>
          <w:tcPr>
            <w:tcW w:w="500"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w:t>
            </w:r>
          </w:p>
        </w:tc>
        <w:tc>
          <w:tcPr>
            <w:tcW w:w="650"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朔城区商务局</w:t>
            </w:r>
          </w:p>
        </w:tc>
        <w:tc>
          <w:tcPr>
            <w:tcW w:w="675"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商务股</w:t>
            </w:r>
          </w:p>
        </w:tc>
        <w:tc>
          <w:tcPr>
            <w:tcW w:w="625" w:type="dxa"/>
            <w:vAlign w:val="center"/>
          </w:tcPr>
          <w:p>
            <w:pPr>
              <w:jc w:val="both"/>
              <w:rPr>
                <w:rFonts w:hint="eastAsia" w:ascii="仿宋" w:hAnsi="仿宋" w:eastAsia="仿宋" w:cs="仿宋"/>
                <w:b w:val="0"/>
                <w:bCs w:val="0"/>
                <w:sz w:val="15"/>
                <w:szCs w:val="15"/>
                <w:vertAlign w:val="baseline"/>
                <w:lang w:val="en-US" w:eastAsia="zh-CN"/>
              </w:rPr>
            </w:pPr>
          </w:p>
        </w:tc>
        <w:tc>
          <w:tcPr>
            <w:tcW w:w="638" w:type="dxa"/>
            <w:vAlign w:val="center"/>
          </w:tcPr>
          <w:p>
            <w:pPr>
              <w:jc w:val="both"/>
              <w:rPr>
                <w:rFonts w:hint="eastAsia" w:ascii="仿宋" w:hAnsi="仿宋" w:eastAsia="仿宋" w:cs="仿宋"/>
                <w:b w:val="0"/>
                <w:bCs w:val="0"/>
                <w:sz w:val="15"/>
                <w:szCs w:val="15"/>
                <w:vertAlign w:val="baseline"/>
                <w:lang w:val="en-US" w:eastAsia="zh-CN"/>
              </w:rPr>
            </w:pPr>
          </w:p>
        </w:tc>
        <w:tc>
          <w:tcPr>
            <w:tcW w:w="687" w:type="dxa"/>
            <w:vAlign w:val="center"/>
          </w:tcPr>
          <w:p>
            <w:pPr>
              <w:jc w:val="both"/>
              <w:rPr>
                <w:rFonts w:hint="eastAsia" w:ascii="仿宋" w:hAnsi="仿宋" w:eastAsia="仿宋" w:cs="仿宋"/>
                <w:b w:val="0"/>
                <w:bCs w:val="0"/>
                <w:sz w:val="15"/>
                <w:szCs w:val="15"/>
                <w:vertAlign w:val="baseline"/>
                <w:lang w:val="en-US" w:eastAsia="zh-CN"/>
              </w:rPr>
            </w:pPr>
          </w:p>
        </w:tc>
        <w:tc>
          <w:tcPr>
            <w:tcW w:w="1550" w:type="dxa"/>
            <w:vAlign w:val="center"/>
          </w:tcPr>
          <w:p>
            <w:pPr>
              <w:widowControl/>
              <w:spacing w:line="90" w:lineRule="atLeast"/>
              <w:jc w:val="left"/>
              <w:rPr>
                <w:rFonts w:hint="eastAsia" w:ascii="仿宋" w:hAnsi="仿宋" w:eastAsia="仿宋" w:cs="仿宋"/>
                <w:b w:val="0"/>
                <w:bCs w:val="0"/>
                <w:color w:val="000000"/>
                <w:kern w:val="0"/>
                <w:sz w:val="15"/>
                <w:szCs w:val="15"/>
              </w:rPr>
            </w:pPr>
            <w:r>
              <w:rPr>
                <w:rFonts w:hint="eastAsia" w:ascii="仿宋" w:hAnsi="仿宋" w:eastAsia="仿宋" w:cs="仿宋"/>
                <w:b w:val="0"/>
                <w:bCs w:val="0"/>
                <w:color w:val="000000"/>
                <w:kern w:val="0"/>
                <w:sz w:val="15"/>
                <w:szCs w:val="15"/>
              </w:rPr>
              <w:t xml:space="preserve">《商务行政处罚程序规定》(商务部令2012年第6号)第20、21、22、23条，第30、32条第34、35、36、37条，第46.49.50.51.53条相关规定。《单用途商业预付卡管理办法（试行）》(商务部令2012年第9号) </w:t>
            </w:r>
          </w:p>
          <w:p>
            <w:pPr>
              <w:jc w:val="both"/>
              <w:rPr>
                <w:rFonts w:hint="eastAsia" w:ascii="仿宋" w:hAnsi="仿宋" w:eastAsia="仿宋" w:cs="仿宋"/>
                <w:b w:val="0"/>
                <w:bCs w:val="0"/>
                <w:color w:val="000000"/>
                <w:kern w:val="0"/>
                <w:sz w:val="15"/>
                <w:szCs w:val="15"/>
              </w:rPr>
            </w:pPr>
            <w:r>
              <w:rPr>
                <w:rFonts w:hint="eastAsia" w:ascii="仿宋" w:hAnsi="仿宋" w:eastAsia="仿宋" w:cs="仿宋"/>
                <w:b w:val="0"/>
                <w:bCs w:val="0"/>
                <w:color w:val="000000"/>
                <w:kern w:val="0"/>
                <w:sz w:val="15"/>
                <w:szCs w:val="15"/>
              </w:rPr>
              <w:t xml:space="preserve">  第7条、第36条相关规定。</w:t>
            </w:r>
          </w:p>
        </w:tc>
        <w:tc>
          <w:tcPr>
            <w:tcW w:w="513" w:type="dxa"/>
            <w:vAlign w:val="center"/>
          </w:tcPr>
          <w:p>
            <w:pPr>
              <w:jc w:val="both"/>
              <w:rPr>
                <w:rFonts w:hint="eastAsia" w:ascii="仿宋" w:hAnsi="仿宋" w:eastAsia="仿宋" w:cs="仿宋"/>
                <w:b w:val="0"/>
                <w:bCs w:val="0"/>
                <w:sz w:val="15"/>
                <w:szCs w:val="15"/>
                <w:vertAlign w:val="baseline"/>
                <w:lang w:val="en-US" w:eastAsia="zh-CN"/>
              </w:rPr>
            </w:pPr>
          </w:p>
        </w:tc>
        <w:tc>
          <w:tcPr>
            <w:tcW w:w="437" w:type="dxa"/>
            <w:vAlign w:val="center"/>
          </w:tcPr>
          <w:p>
            <w:pPr>
              <w:jc w:val="both"/>
              <w:rPr>
                <w:rFonts w:hint="eastAsia" w:ascii="仿宋" w:hAnsi="仿宋" w:eastAsia="仿宋" w:cs="仿宋"/>
                <w:b w:val="0"/>
                <w:bCs w:val="0"/>
                <w:sz w:val="15"/>
                <w:szCs w:val="15"/>
                <w:vertAlign w:val="baseline"/>
                <w:lang w:val="en-US" w:eastAsia="zh-CN"/>
              </w:rPr>
            </w:pPr>
          </w:p>
        </w:tc>
        <w:tc>
          <w:tcPr>
            <w:tcW w:w="688" w:type="dxa"/>
            <w:vAlign w:val="center"/>
          </w:tcPr>
          <w:p>
            <w:pPr>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在我国境内从事零售业、住餐业、居民服务业的企业法人</w:t>
            </w:r>
          </w:p>
        </w:tc>
        <w:tc>
          <w:tcPr>
            <w:tcW w:w="650" w:type="dxa"/>
            <w:vAlign w:val="center"/>
          </w:tcPr>
          <w:p>
            <w:pPr>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30个工作日</w:t>
            </w:r>
          </w:p>
        </w:tc>
        <w:tc>
          <w:tcPr>
            <w:tcW w:w="687" w:type="dxa"/>
            <w:vAlign w:val="center"/>
          </w:tcPr>
          <w:p>
            <w:pPr>
              <w:jc w:val="both"/>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30个工作日</w:t>
            </w:r>
          </w:p>
        </w:tc>
        <w:tc>
          <w:tcPr>
            <w:tcW w:w="3488" w:type="dxa"/>
            <w:vAlign w:val="center"/>
          </w:tcPr>
          <w:p>
            <w:pPr>
              <w:widowControl/>
              <w:spacing w:line="90" w:lineRule="atLeast"/>
              <w:jc w:val="left"/>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5"/>
                <w:szCs w:val="15"/>
              </w:rPr>
              <w:t>《商务行政处罚程序规定》(商务部令2012年第6号)第20、21、22、23条，第30、32条第34、35、36、37条，第46.49.50.51.53条相关规定。《单用途商业预付卡管理办法（试行）》(商务部令2012年第9号) 第36条相关规定。</w:t>
            </w:r>
          </w:p>
        </w:tc>
        <w:tc>
          <w:tcPr>
            <w:tcW w:w="534" w:type="dxa"/>
            <w:vAlign w:val="center"/>
          </w:tcPr>
          <w:p>
            <w:pPr>
              <w:jc w:val="both"/>
              <w:rPr>
                <w:rFonts w:hint="eastAsia" w:ascii="仿宋" w:hAnsi="仿宋" w:eastAsia="仿宋" w:cs="仿宋"/>
                <w:b w:val="0"/>
                <w:bCs w:val="0"/>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431" w:type="dxa"/>
            <w:vAlign w:val="center"/>
          </w:tcPr>
          <w:p>
            <w:pPr>
              <w:jc w:val="both"/>
              <w:rPr>
                <w:rFonts w:hint="default"/>
                <w:vertAlign w:val="baseline"/>
                <w:lang w:val="en-US" w:eastAsia="zh-CN"/>
              </w:rPr>
            </w:pPr>
            <w:r>
              <w:rPr>
                <w:rFonts w:hint="eastAsia"/>
                <w:vertAlign w:val="baseline"/>
                <w:lang w:val="en-US" w:eastAsia="zh-CN"/>
              </w:rPr>
              <w:t>4</w:t>
            </w:r>
          </w:p>
        </w:tc>
        <w:tc>
          <w:tcPr>
            <w:tcW w:w="712"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rPr>
              <w:t>1800-B-00202-140602</w:t>
            </w:r>
          </w:p>
        </w:tc>
        <w:tc>
          <w:tcPr>
            <w:tcW w:w="1150"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rPr>
              <w:t>对开展单用途卡业务的企业违反单用途商业预付卡发行与服务相关规定的处</w:t>
            </w:r>
            <w:r>
              <w:rPr>
                <w:rFonts w:hint="eastAsia" w:ascii="仿宋" w:hAnsi="仿宋" w:eastAsia="仿宋" w:cs="仿宋"/>
                <w:b w:val="0"/>
                <w:bCs w:val="0"/>
                <w:sz w:val="15"/>
                <w:szCs w:val="15"/>
                <w:lang w:val="en-US" w:eastAsia="zh-CN"/>
              </w:rPr>
              <w:t>罚</w:t>
            </w:r>
          </w:p>
        </w:tc>
        <w:tc>
          <w:tcPr>
            <w:tcW w:w="500"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w:t>
            </w:r>
          </w:p>
        </w:tc>
        <w:tc>
          <w:tcPr>
            <w:tcW w:w="650"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朔城区商务局</w:t>
            </w:r>
          </w:p>
        </w:tc>
        <w:tc>
          <w:tcPr>
            <w:tcW w:w="675"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商务股</w:t>
            </w:r>
          </w:p>
        </w:tc>
        <w:tc>
          <w:tcPr>
            <w:tcW w:w="625" w:type="dxa"/>
            <w:vAlign w:val="center"/>
          </w:tcPr>
          <w:p>
            <w:pPr>
              <w:jc w:val="both"/>
              <w:rPr>
                <w:rFonts w:hint="eastAsia" w:ascii="仿宋" w:hAnsi="仿宋" w:eastAsia="仿宋" w:cs="仿宋"/>
                <w:b w:val="0"/>
                <w:bCs w:val="0"/>
                <w:sz w:val="15"/>
                <w:szCs w:val="15"/>
                <w:vertAlign w:val="baseline"/>
                <w:lang w:val="en-US" w:eastAsia="zh-CN"/>
              </w:rPr>
            </w:pPr>
          </w:p>
        </w:tc>
        <w:tc>
          <w:tcPr>
            <w:tcW w:w="638" w:type="dxa"/>
            <w:vAlign w:val="center"/>
          </w:tcPr>
          <w:p>
            <w:pPr>
              <w:jc w:val="both"/>
              <w:rPr>
                <w:rFonts w:hint="eastAsia" w:ascii="仿宋" w:hAnsi="仿宋" w:eastAsia="仿宋" w:cs="仿宋"/>
                <w:b w:val="0"/>
                <w:bCs w:val="0"/>
                <w:sz w:val="15"/>
                <w:szCs w:val="15"/>
                <w:vertAlign w:val="baseline"/>
                <w:lang w:val="en-US" w:eastAsia="zh-CN"/>
              </w:rPr>
            </w:pPr>
          </w:p>
        </w:tc>
        <w:tc>
          <w:tcPr>
            <w:tcW w:w="687" w:type="dxa"/>
            <w:vAlign w:val="center"/>
          </w:tcPr>
          <w:p>
            <w:pPr>
              <w:jc w:val="both"/>
              <w:rPr>
                <w:rFonts w:hint="eastAsia" w:ascii="仿宋" w:hAnsi="仿宋" w:eastAsia="仿宋" w:cs="仿宋"/>
                <w:b w:val="0"/>
                <w:bCs w:val="0"/>
                <w:sz w:val="15"/>
                <w:szCs w:val="15"/>
                <w:vertAlign w:val="baseline"/>
                <w:lang w:val="en-US" w:eastAsia="zh-CN"/>
              </w:rPr>
            </w:pPr>
          </w:p>
        </w:tc>
        <w:tc>
          <w:tcPr>
            <w:tcW w:w="1550" w:type="dxa"/>
            <w:vAlign w:val="center"/>
          </w:tcPr>
          <w:p>
            <w:pPr>
              <w:widowControl/>
              <w:spacing w:line="90" w:lineRule="atLeast"/>
              <w:rPr>
                <w:rFonts w:hint="default" w:ascii="仿宋" w:hAnsi="仿宋" w:eastAsia="仿宋" w:cs="仿宋"/>
                <w:b w:val="0"/>
                <w:bCs w:val="0"/>
                <w:sz w:val="15"/>
                <w:szCs w:val="15"/>
                <w:vertAlign w:val="baseline"/>
                <w:lang w:val="en-US" w:eastAsia="zh-CN"/>
              </w:rPr>
            </w:pPr>
            <w:r>
              <w:rPr>
                <w:rFonts w:hint="eastAsia" w:ascii="仿宋" w:hAnsi="仿宋" w:eastAsia="仿宋" w:cs="仿宋"/>
                <w:b w:val="0"/>
                <w:bCs w:val="0"/>
                <w:color w:val="000000"/>
                <w:kern w:val="0"/>
                <w:sz w:val="15"/>
                <w:szCs w:val="15"/>
              </w:rPr>
              <w:t>商务行政处罚程序规定》第20、21、22、23条，第30、32条第34、35、36、37第46.49.50.51.53条相关规定。</w:t>
            </w:r>
            <w:r>
              <w:rPr>
                <w:rFonts w:hint="eastAsia" w:ascii="仿宋" w:hAnsi="仿宋" w:eastAsia="仿宋" w:cs="仿宋"/>
                <w:b w:val="0"/>
                <w:bCs w:val="0"/>
                <w:sz w:val="15"/>
                <w:szCs w:val="15"/>
              </w:rPr>
              <w:t>《单用途商业预付卡管理办法（试行）》 第14条 、第15条第1款17.18.19.20.21.22条、第37条</w:t>
            </w:r>
            <w:r>
              <w:rPr>
                <w:rFonts w:hint="eastAsia" w:ascii="仿宋" w:hAnsi="仿宋" w:eastAsia="仿宋" w:cs="仿宋"/>
                <w:b w:val="0"/>
                <w:bCs w:val="0"/>
                <w:sz w:val="15"/>
                <w:szCs w:val="15"/>
                <w:lang w:val="en-US" w:eastAsia="zh-CN"/>
              </w:rPr>
              <w:t>相关规定。</w:t>
            </w:r>
          </w:p>
        </w:tc>
        <w:tc>
          <w:tcPr>
            <w:tcW w:w="513" w:type="dxa"/>
            <w:vAlign w:val="center"/>
          </w:tcPr>
          <w:p>
            <w:pPr>
              <w:jc w:val="both"/>
              <w:rPr>
                <w:rFonts w:hint="default"/>
                <w:vertAlign w:val="baseline"/>
                <w:lang w:val="en-US" w:eastAsia="zh-CN"/>
              </w:rPr>
            </w:pPr>
          </w:p>
        </w:tc>
        <w:tc>
          <w:tcPr>
            <w:tcW w:w="437" w:type="dxa"/>
            <w:vAlign w:val="center"/>
          </w:tcPr>
          <w:p>
            <w:pPr>
              <w:jc w:val="both"/>
              <w:rPr>
                <w:rFonts w:hint="default"/>
                <w:vertAlign w:val="baseline"/>
                <w:lang w:val="en-US" w:eastAsia="zh-CN"/>
              </w:rPr>
            </w:pPr>
          </w:p>
        </w:tc>
        <w:tc>
          <w:tcPr>
            <w:tcW w:w="688" w:type="dxa"/>
            <w:vAlign w:val="center"/>
          </w:tcPr>
          <w:p>
            <w:pPr>
              <w:jc w:val="both"/>
              <w:rPr>
                <w:rFonts w:hint="eastAsia"/>
                <w:vertAlign w:val="baseline"/>
                <w:lang w:val="en-US" w:eastAsia="zh-CN"/>
              </w:rPr>
            </w:pPr>
            <w:r>
              <w:rPr>
                <w:rFonts w:hint="eastAsia" w:ascii="仿宋" w:hAnsi="仿宋" w:eastAsia="仿宋" w:cs="仿宋"/>
                <w:b w:val="0"/>
                <w:bCs w:val="0"/>
                <w:sz w:val="15"/>
                <w:szCs w:val="15"/>
                <w:vertAlign w:val="baseline"/>
                <w:lang w:val="en-US" w:eastAsia="zh-CN"/>
              </w:rPr>
              <w:t>在我国境内从事零售业、住餐业、居民服务业的企业法人</w:t>
            </w:r>
          </w:p>
        </w:tc>
        <w:tc>
          <w:tcPr>
            <w:tcW w:w="650" w:type="dxa"/>
            <w:vAlign w:val="center"/>
          </w:tcPr>
          <w:p>
            <w:pPr>
              <w:jc w:val="both"/>
              <w:rPr>
                <w:rFonts w:hint="eastAsia" w:eastAsia="仿宋"/>
                <w:vertAlign w:val="baseline"/>
                <w:lang w:val="en-US" w:eastAsia="zh-CN"/>
              </w:rPr>
            </w:pPr>
            <w:r>
              <w:rPr>
                <w:rFonts w:hint="eastAsia" w:ascii="仿宋" w:hAnsi="仿宋" w:eastAsia="仿宋" w:cs="仿宋"/>
                <w:b w:val="0"/>
                <w:bCs w:val="0"/>
                <w:sz w:val="15"/>
                <w:szCs w:val="15"/>
              </w:rPr>
              <w:t>单用途商业预付卡管理办法第22条</w:t>
            </w:r>
            <w:r>
              <w:rPr>
                <w:rFonts w:hint="eastAsia" w:ascii="仿宋" w:hAnsi="仿宋" w:eastAsia="仿宋" w:cs="仿宋"/>
                <w:b w:val="0"/>
                <w:bCs w:val="0"/>
                <w:sz w:val="15"/>
                <w:szCs w:val="15"/>
                <w:lang w:eastAsia="zh-CN"/>
              </w:rPr>
              <w:t>。</w:t>
            </w:r>
          </w:p>
        </w:tc>
        <w:tc>
          <w:tcPr>
            <w:tcW w:w="687" w:type="dxa"/>
            <w:vAlign w:val="center"/>
          </w:tcPr>
          <w:p>
            <w:pPr>
              <w:jc w:val="both"/>
              <w:rPr>
                <w:rFonts w:hint="eastAsia"/>
                <w:vertAlign w:val="baseline"/>
                <w:lang w:val="en-US" w:eastAsia="zh-CN"/>
              </w:rPr>
            </w:pPr>
            <w:r>
              <w:rPr>
                <w:rFonts w:hint="eastAsia" w:ascii="仿宋" w:hAnsi="仿宋" w:eastAsia="仿宋" w:cs="仿宋"/>
                <w:b w:val="0"/>
                <w:bCs w:val="0"/>
                <w:sz w:val="15"/>
                <w:szCs w:val="15"/>
              </w:rPr>
              <w:t>单用途商业预付卡管理办法第22条</w:t>
            </w:r>
            <w:r>
              <w:rPr>
                <w:rFonts w:hint="eastAsia" w:ascii="仿宋" w:hAnsi="仿宋" w:eastAsia="仿宋" w:cs="仿宋"/>
                <w:b w:val="0"/>
                <w:bCs w:val="0"/>
                <w:sz w:val="15"/>
                <w:szCs w:val="15"/>
                <w:lang w:eastAsia="zh-CN"/>
              </w:rPr>
              <w:t>。</w:t>
            </w:r>
          </w:p>
        </w:tc>
        <w:tc>
          <w:tcPr>
            <w:tcW w:w="3488" w:type="dxa"/>
            <w:vAlign w:val="center"/>
          </w:tcPr>
          <w:p>
            <w:pPr>
              <w:jc w:val="both"/>
              <w:rPr>
                <w:rFonts w:hint="default"/>
                <w:sz w:val="18"/>
                <w:szCs w:val="18"/>
                <w:vertAlign w:val="baseline"/>
                <w:lang w:val="en-US" w:eastAsia="zh-CN"/>
              </w:rPr>
            </w:pPr>
            <w:r>
              <w:rPr>
                <w:rFonts w:hint="eastAsia" w:ascii="仿宋" w:hAnsi="仿宋" w:eastAsia="仿宋" w:cs="仿宋"/>
                <w:b w:val="0"/>
                <w:bCs w:val="0"/>
                <w:color w:val="000000"/>
                <w:kern w:val="0"/>
                <w:sz w:val="15"/>
                <w:szCs w:val="15"/>
                <w:lang w:eastAsia="zh-CN"/>
              </w:rPr>
              <w:t>《</w:t>
            </w:r>
            <w:r>
              <w:rPr>
                <w:rFonts w:hint="eastAsia" w:ascii="仿宋" w:hAnsi="仿宋" w:eastAsia="仿宋" w:cs="仿宋"/>
                <w:b w:val="0"/>
                <w:bCs w:val="0"/>
                <w:color w:val="000000"/>
                <w:kern w:val="0"/>
                <w:sz w:val="15"/>
                <w:szCs w:val="15"/>
              </w:rPr>
              <w:t>商务行政处罚程序规定》(商务部令2012年第6号)第20、21、22、23条，第30、32条第34、35、36、37条，第46.49.50.51.53条相关规定。</w:t>
            </w:r>
            <w:r>
              <w:rPr>
                <w:rFonts w:hint="eastAsia" w:ascii="仿宋" w:hAnsi="仿宋" w:eastAsia="仿宋" w:cs="仿宋"/>
                <w:b w:val="0"/>
                <w:bCs w:val="0"/>
                <w:sz w:val="15"/>
                <w:szCs w:val="15"/>
              </w:rPr>
              <w:t>《单用途商业预付卡管理办法（试行）》 (商务部令2012年第9号) 第14条 、第15条第1款、第17.18.19.20.21.22条、第37条</w:t>
            </w:r>
            <w:r>
              <w:rPr>
                <w:rFonts w:hint="eastAsia" w:ascii="仿宋" w:hAnsi="仿宋" w:eastAsia="仿宋" w:cs="仿宋"/>
                <w:b w:val="0"/>
                <w:bCs w:val="0"/>
                <w:sz w:val="15"/>
                <w:szCs w:val="15"/>
                <w:lang w:val="en-US" w:eastAsia="zh-CN"/>
              </w:rPr>
              <w:t>相关规定。</w:t>
            </w:r>
          </w:p>
        </w:tc>
        <w:tc>
          <w:tcPr>
            <w:tcW w:w="534" w:type="dxa"/>
            <w:vAlign w:val="center"/>
          </w:tcPr>
          <w:p>
            <w:p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431" w:type="dxa"/>
            <w:vAlign w:val="center"/>
          </w:tcPr>
          <w:p>
            <w:pPr>
              <w:jc w:val="both"/>
              <w:rPr>
                <w:rFonts w:hint="eastAsia" w:ascii="仿宋" w:hAnsi="仿宋" w:eastAsia="仿宋" w:cs="仿宋"/>
                <w:b w:val="0"/>
                <w:bCs w:val="0"/>
                <w:sz w:val="15"/>
                <w:szCs w:val="15"/>
                <w:vertAlign w:val="baseline"/>
                <w:lang w:val="en-US" w:eastAsia="zh-CN"/>
              </w:rPr>
            </w:pPr>
            <w:bookmarkStart w:id="0" w:name="_GoBack"/>
            <w:r>
              <w:rPr>
                <w:rFonts w:hint="eastAsia" w:ascii="仿宋" w:hAnsi="仿宋" w:eastAsia="仿宋" w:cs="仿宋"/>
                <w:b w:val="0"/>
                <w:bCs w:val="0"/>
                <w:sz w:val="21"/>
                <w:szCs w:val="21"/>
                <w:vertAlign w:val="baseline"/>
                <w:lang w:val="en-US" w:eastAsia="zh-CN"/>
              </w:rPr>
              <w:t>5</w:t>
            </w:r>
            <w:bookmarkEnd w:id="0"/>
          </w:p>
        </w:tc>
        <w:tc>
          <w:tcPr>
            <w:tcW w:w="712" w:type="dxa"/>
            <w:vAlign w:val="center"/>
          </w:tcPr>
          <w:p>
            <w:pPr>
              <w:jc w:val="both"/>
              <w:rPr>
                <w:rFonts w:hint="eastAsia" w:ascii="仿宋" w:hAnsi="仿宋" w:eastAsia="仿宋" w:cs="仿宋"/>
                <w:b w:val="0"/>
                <w:bCs w:val="0"/>
                <w:sz w:val="15"/>
                <w:szCs w:val="15"/>
              </w:rPr>
            </w:pPr>
            <w:r>
              <w:rPr>
                <w:rFonts w:hint="eastAsia" w:ascii="仿宋" w:hAnsi="仿宋" w:eastAsia="仿宋" w:cs="仿宋"/>
                <w:b w:val="0"/>
                <w:bCs w:val="0"/>
                <w:sz w:val="15"/>
                <w:szCs w:val="15"/>
              </w:rPr>
              <w:t>18600-B-00203-140602</w:t>
            </w:r>
          </w:p>
        </w:tc>
        <w:tc>
          <w:tcPr>
            <w:tcW w:w="1150" w:type="dxa"/>
            <w:vAlign w:val="center"/>
          </w:tcPr>
          <w:p>
            <w:pPr>
              <w:jc w:val="both"/>
              <w:rPr>
                <w:rFonts w:hint="eastAsia" w:ascii="仿宋" w:hAnsi="仿宋" w:eastAsia="仿宋" w:cs="仿宋"/>
                <w:b w:val="0"/>
                <w:bCs w:val="0"/>
                <w:sz w:val="15"/>
                <w:szCs w:val="15"/>
              </w:rPr>
            </w:pPr>
            <w:r>
              <w:rPr>
                <w:rFonts w:hint="eastAsia" w:ascii="仿宋" w:hAnsi="仿宋" w:eastAsia="仿宋" w:cs="仿宋"/>
                <w:b w:val="0"/>
                <w:bCs w:val="0"/>
                <w:sz w:val="15"/>
                <w:szCs w:val="15"/>
              </w:rPr>
              <w:t>对开展单用途卡业务的企业违反单用途商业预付卡预收资金管理相关规定的处罚</w:t>
            </w:r>
          </w:p>
        </w:tc>
        <w:tc>
          <w:tcPr>
            <w:tcW w:w="500"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行政处罚</w:t>
            </w:r>
          </w:p>
        </w:tc>
        <w:tc>
          <w:tcPr>
            <w:tcW w:w="650"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朔城区商务局</w:t>
            </w:r>
          </w:p>
        </w:tc>
        <w:tc>
          <w:tcPr>
            <w:tcW w:w="675"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商务股</w:t>
            </w:r>
          </w:p>
        </w:tc>
        <w:tc>
          <w:tcPr>
            <w:tcW w:w="625" w:type="dxa"/>
            <w:vAlign w:val="center"/>
          </w:tcPr>
          <w:p>
            <w:pPr>
              <w:jc w:val="both"/>
              <w:rPr>
                <w:rFonts w:hint="eastAsia" w:ascii="仿宋" w:hAnsi="仿宋" w:eastAsia="仿宋" w:cs="仿宋"/>
                <w:b w:val="0"/>
                <w:bCs w:val="0"/>
                <w:sz w:val="15"/>
                <w:szCs w:val="15"/>
                <w:vertAlign w:val="baseline"/>
                <w:lang w:val="en-US" w:eastAsia="zh-CN"/>
              </w:rPr>
            </w:pPr>
          </w:p>
        </w:tc>
        <w:tc>
          <w:tcPr>
            <w:tcW w:w="638" w:type="dxa"/>
            <w:vAlign w:val="center"/>
          </w:tcPr>
          <w:p>
            <w:pPr>
              <w:jc w:val="both"/>
              <w:rPr>
                <w:rFonts w:hint="eastAsia" w:ascii="仿宋" w:hAnsi="仿宋" w:eastAsia="仿宋" w:cs="仿宋"/>
                <w:b w:val="0"/>
                <w:bCs w:val="0"/>
                <w:sz w:val="15"/>
                <w:szCs w:val="15"/>
                <w:vertAlign w:val="baseline"/>
                <w:lang w:val="en-US" w:eastAsia="zh-CN"/>
              </w:rPr>
            </w:pPr>
          </w:p>
        </w:tc>
        <w:tc>
          <w:tcPr>
            <w:tcW w:w="687" w:type="dxa"/>
            <w:vAlign w:val="center"/>
          </w:tcPr>
          <w:p>
            <w:pPr>
              <w:jc w:val="both"/>
              <w:rPr>
                <w:rFonts w:hint="eastAsia" w:ascii="仿宋" w:hAnsi="仿宋" w:eastAsia="仿宋" w:cs="仿宋"/>
                <w:b w:val="0"/>
                <w:bCs w:val="0"/>
                <w:sz w:val="15"/>
                <w:szCs w:val="15"/>
                <w:vertAlign w:val="baseline"/>
                <w:lang w:val="en-US" w:eastAsia="zh-CN"/>
              </w:rPr>
            </w:pPr>
          </w:p>
        </w:tc>
        <w:tc>
          <w:tcPr>
            <w:tcW w:w="1550" w:type="dxa"/>
            <w:vAlign w:val="center"/>
          </w:tcPr>
          <w:p>
            <w:pPr>
              <w:jc w:val="both"/>
              <w:rPr>
                <w:rFonts w:hint="default" w:ascii="仿宋" w:hAnsi="仿宋" w:eastAsia="仿宋" w:cs="仿宋"/>
                <w:b w:val="0"/>
                <w:bCs w:val="0"/>
                <w:sz w:val="15"/>
                <w:szCs w:val="15"/>
                <w:lang w:val="en-US" w:eastAsia="zh-CN"/>
              </w:rPr>
            </w:pPr>
            <w:r>
              <w:rPr>
                <w:rFonts w:hint="eastAsia" w:ascii="仿宋" w:hAnsi="仿宋" w:eastAsia="仿宋" w:cs="仿宋"/>
                <w:b w:val="0"/>
                <w:bCs w:val="0"/>
                <w:color w:val="000000"/>
                <w:kern w:val="0"/>
                <w:sz w:val="15"/>
                <w:szCs w:val="15"/>
              </w:rPr>
              <w:t>商务行政处罚程序规定》(商务部令2012年第6号)第20、21、22、23条，第30、32条第34、35、36、37条，第46.49.50.51.53条相关规定。</w:t>
            </w:r>
            <w:r>
              <w:rPr>
                <w:rFonts w:hint="eastAsia" w:ascii="仿宋" w:hAnsi="仿宋" w:eastAsia="仿宋" w:cs="仿宋"/>
                <w:b w:val="0"/>
                <w:bCs w:val="0"/>
                <w:sz w:val="15"/>
                <w:szCs w:val="15"/>
              </w:rPr>
              <w:t>《单用途商业预付卡管理办法（试行）》(商务部令2012年第9号)第24.2</w:t>
            </w:r>
            <w:r>
              <w:rPr>
                <w:rFonts w:hint="eastAsia" w:ascii="仿宋" w:hAnsi="仿宋" w:eastAsia="仿宋" w:cs="仿宋"/>
                <w:b w:val="0"/>
                <w:bCs w:val="0"/>
                <w:sz w:val="15"/>
                <w:szCs w:val="15"/>
                <w:lang w:val="en-US" w:eastAsia="zh-CN"/>
              </w:rPr>
              <w:t xml:space="preserve">5 </w:t>
            </w:r>
            <w:r>
              <w:rPr>
                <w:rFonts w:hint="eastAsia" w:ascii="仿宋" w:hAnsi="仿宋" w:eastAsia="仿宋" w:cs="仿宋"/>
                <w:b w:val="0"/>
                <w:bCs w:val="0"/>
                <w:sz w:val="15"/>
                <w:szCs w:val="15"/>
              </w:rPr>
              <w:t>.26.27条，第31条第2款</w:t>
            </w:r>
            <w:r>
              <w:rPr>
                <w:rFonts w:hint="eastAsia" w:ascii="仿宋" w:hAnsi="仿宋" w:eastAsia="仿宋" w:cs="仿宋"/>
                <w:b w:val="0"/>
                <w:bCs w:val="0"/>
                <w:sz w:val="15"/>
                <w:szCs w:val="15"/>
                <w:lang w:val="en-US" w:eastAsia="zh-CN"/>
              </w:rPr>
              <w:t>相关规定。</w:t>
            </w:r>
          </w:p>
        </w:tc>
        <w:tc>
          <w:tcPr>
            <w:tcW w:w="513" w:type="dxa"/>
            <w:vAlign w:val="center"/>
          </w:tcPr>
          <w:p>
            <w:pPr>
              <w:jc w:val="both"/>
              <w:rPr>
                <w:rFonts w:hint="default"/>
                <w:vertAlign w:val="baseline"/>
                <w:lang w:val="en-US" w:eastAsia="zh-CN"/>
              </w:rPr>
            </w:pPr>
          </w:p>
        </w:tc>
        <w:tc>
          <w:tcPr>
            <w:tcW w:w="437" w:type="dxa"/>
            <w:vAlign w:val="center"/>
          </w:tcPr>
          <w:p>
            <w:pPr>
              <w:jc w:val="both"/>
              <w:rPr>
                <w:rFonts w:hint="default"/>
                <w:vertAlign w:val="baseline"/>
                <w:lang w:val="en-US" w:eastAsia="zh-CN"/>
              </w:rPr>
            </w:pPr>
          </w:p>
        </w:tc>
        <w:tc>
          <w:tcPr>
            <w:tcW w:w="688" w:type="dxa"/>
            <w:vAlign w:val="center"/>
          </w:tcPr>
          <w:p>
            <w:pPr>
              <w:jc w:val="both"/>
              <w:rPr>
                <w:rFonts w:hint="eastAsia" w:ascii="仿宋" w:hAnsi="仿宋" w:eastAsia="仿宋" w:cs="仿宋"/>
                <w:b w:val="0"/>
                <w:bCs w:val="0"/>
                <w:sz w:val="15"/>
                <w:szCs w:val="15"/>
                <w:vertAlign w:val="baseline"/>
                <w:lang w:val="en-US" w:eastAsia="zh-CN"/>
              </w:rPr>
            </w:pPr>
            <w:r>
              <w:rPr>
                <w:rFonts w:hint="eastAsia" w:ascii="仿宋" w:hAnsi="仿宋" w:eastAsia="仿宋" w:cs="仿宋"/>
                <w:b w:val="0"/>
                <w:bCs w:val="0"/>
                <w:sz w:val="15"/>
                <w:szCs w:val="15"/>
                <w:vertAlign w:val="baseline"/>
                <w:lang w:val="en-US" w:eastAsia="zh-CN"/>
              </w:rPr>
              <w:t>在我国境内从事零售业、住餐业、居民服务业的企业法人</w:t>
            </w:r>
          </w:p>
        </w:tc>
        <w:tc>
          <w:tcPr>
            <w:tcW w:w="650" w:type="dxa"/>
            <w:vAlign w:val="center"/>
          </w:tcPr>
          <w:p>
            <w:pPr>
              <w:jc w:val="both"/>
              <w:rPr>
                <w:rFonts w:hint="eastAsia" w:ascii="仿宋" w:hAnsi="仿宋" w:eastAsia="仿宋" w:cs="仿宋"/>
                <w:b w:val="0"/>
                <w:bCs w:val="0"/>
                <w:sz w:val="15"/>
                <w:szCs w:val="15"/>
              </w:rPr>
            </w:pPr>
            <w:r>
              <w:rPr>
                <w:rFonts w:hint="eastAsia" w:ascii="仿宋" w:hAnsi="仿宋" w:eastAsia="仿宋" w:cs="仿宋"/>
                <w:b w:val="0"/>
                <w:bCs w:val="0"/>
                <w:sz w:val="15"/>
                <w:szCs w:val="15"/>
              </w:rPr>
              <w:t>单用途商业预付卡管理办法</w:t>
            </w:r>
            <w:r>
              <w:rPr>
                <w:rFonts w:hint="eastAsia" w:ascii="仿宋" w:hAnsi="仿宋" w:eastAsia="仿宋" w:cs="仿宋"/>
                <w:b w:val="0"/>
                <w:bCs w:val="0"/>
                <w:sz w:val="15"/>
                <w:szCs w:val="15"/>
                <w:lang w:val="en-US" w:eastAsia="zh-CN"/>
              </w:rPr>
              <w:t>第31</w:t>
            </w:r>
            <w:r>
              <w:rPr>
                <w:rFonts w:hint="eastAsia" w:ascii="仿宋" w:hAnsi="仿宋" w:eastAsia="仿宋" w:cs="仿宋"/>
                <w:b w:val="0"/>
                <w:bCs w:val="0"/>
                <w:sz w:val="15"/>
                <w:szCs w:val="15"/>
              </w:rPr>
              <w:t>条</w:t>
            </w:r>
            <w:r>
              <w:rPr>
                <w:rFonts w:hint="eastAsia" w:ascii="仿宋" w:hAnsi="仿宋" w:eastAsia="仿宋" w:cs="仿宋"/>
                <w:b w:val="0"/>
                <w:bCs w:val="0"/>
                <w:sz w:val="15"/>
                <w:szCs w:val="15"/>
                <w:lang w:eastAsia="zh-CN"/>
              </w:rPr>
              <w:t>。</w:t>
            </w:r>
          </w:p>
        </w:tc>
        <w:tc>
          <w:tcPr>
            <w:tcW w:w="687" w:type="dxa"/>
            <w:vAlign w:val="center"/>
          </w:tcPr>
          <w:p>
            <w:pPr>
              <w:jc w:val="both"/>
              <w:rPr>
                <w:rFonts w:hint="eastAsia" w:ascii="仿宋" w:hAnsi="仿宋" w:eastAsia="仿宋" w:cs="仿宋"/>
                <w:b w:val="0"/>
                <w:bCs w:val="0"/>
                <w:sz w:val="15"/>
                <w:szCs w:val="15"/>
              </w:rPr>
            </w:pPr>
            <w:r>
              <w:rPr>
                <w:rFonts w:hint="eastAsia" w:ascii="仿宋" w:hAnsi="仿宋" w:eastAsia="仿宋" w:cs="仿宋"/>
                <w:b w:val="0"/>
                <w:bCs w:val="0"/>
                <w:sz w:val="15"/>
                <w:szCs w:val="15"/>
              </w:rPr>
              <w:t>单用途商业预付卡管理办法第</w:t>
            </w:r>
            <w:r>
              <w:rPr>
                <w:rFonts w:hint="eastAsia" w:ascii="仿宋" w:hAnsi="仿宋" w:eastAsia="仿宋" w:cs="仿宋"/>
                <w:b w:val="0"/>
                <w:bCs w:val="0"/>
                <w:sz w:val="15"/>
                <w:szCs w:val="15"/>
                <w:lang w:val="en-US" w:eastAsia="zh-CN"/>
              </w:rPr>
              <w:t>31</w:t>
            </w:r>
            <w:r>
              <w:rPr>
                <w:rFonts w:hint="eastAsia" w:ascii="仿宋" w:hAnsi="仿宋" w:eastAsia="仿宋" w:cs="仿宋"/>
                <w:b w:val="0"/>
                <w:bCs w:val="0"/>
                <w:sz w:val="15"/>
                <w:szCs w:val="15"/>
              </w:rPr>
              <w:t>条</w:t>
            </w:r>
            <w:r>
              <w:rPr>
                <w:rFonts w:hint="eastAsia" w:ascii="仿宋" w:hAnsi="仿宋" w:eastAsia="仿宋" w:cs="仿宋"/>
                <w:b w:val="0"/>
                <w:bCs w:val="0"/>
                <w:sz w:val="15"/>
                <w:szCs w:val="15"/>
                <w:lang w:eastAsia="zh-CN"/>
              </w:rPr>
              <w:t>。</w:t>
            </w:r>
          </w:p>
        </w:tc>
        <w:tc>
          <w:tcPr>
            <w:tcW w:w="3488" w:type="dxa"/>
            <w:vAlign w:val="center"/>
          </w:tcPr>
          <w:p>
            <w:pPr>
              <w:jc w:val="both"/>
              <w:rPr>
                <w:rFonts w:hint="eastAsia" w:ascii="仿宋" w:hAnsi="仿宋" w:eastAsia="仿宋" w:cs="仿宋"/>
                <w:b w:val="0"/>
                <w:bCs w:val="0"/>
                <w:sz w:val="15"/>
                <w:szCs w:val="15"/>
              </w:rPr>
            </w:pPr>
            <w:r>
              <w:rPr>
                <w:rFonts w:hint="eastAsia" w:ascii="仿宋" w:hAnsi="仿宋" w:eastAsia="仿宋" w:cs="仿宋"/>
                <w:b w:val="0"/>
                <w:bCs w:val="0"/>
                <w:color w:val="000000"/>
                <w:kern w:val="0"/>
                <w:sz w:val="15"/>
                <w:szCs w:val="15"/>
              </w:rPr>
              <w:t>《商务行政处罚程序规定》(商务部令2012年第6号)第20、21、22、23条，第30、32条第34、35、36、37条，第46.49.50.51.53条相关规定。</w:t>
            </w:r>
            <w:r>
              <w:rPr>
                <w:rFonts w:hint="eastAsia" w:ascii="仿宋" w:hAnsi="仿宋" w:eastAsia="仿宋" w:cs="仿宋"/>
                <w:b w:val="0"/>
                <w:bCs w:val="0"/>
                <w:sz w:val="15"/>
                <w:szCs w:val="15"/>
              </w:rPr>
              <w:t>《单用途商业预付卡管理办法（试行）》(商务部令2012年第9号)第24.2</w:t>
            </w:r>
            <w:r>
              <w:rPr>
                <w:rFonts w:hint="eastAsia" w:ascii="仿宋" w:hAnsi="仿宋" w:eastAsia="仿宋" w:cs="仿宋"/>
                <w:b w:val="0"/>
                <w:bCs w:val="0"/>
                <w:sz w:val="15"/>
                <w:szCs w:val="15"/>
                <w:lang w:val="en-US" w:eastAsia="zh-CN"/>
              </w:rPr>
              <w:t xml:space="preserve">5 </w:t>
            </w:r>
            <w:r>
              <w:rPr>
                <w:rFonts w:hint="eastAsia" w:ascii="仿宋" w:hAnsi="仿宋" w:eastAsia="仿宋" w:cs="仿宋"/>
                <w:b w:val="0"/>
                <w:bCs w:val="0"/>
                <w:sz w:val="15"/>
                <w:szCs w:val="15"/>
              </w:rPr>
              <w:t>.26.27条，第31条第2款</w:t>
            </w:r>
            <w:r>
              <w:rPr>
                <w:rFonts w:hint="eastAsia" w:ascii="仿宋" w:hAnsi="仿宋" w:eastAsia="仿宋" w:cs="仿宋"/>
                <w:b w:val="0"/>
                <w:bCs w:val="0"/>
                <w:sz w:val="15"/>
                <w:szCs w:val="15"/>
                <w:lang w:val="en-US" w:eastAsia="zh-CN"/>
              </w:rPr>
              <w:t>相关规定。</w:t>
            </w:r>
          </w:p>
        </w:tc>
        <w:tc>
          <w:tcPr>
            <w:tcW w:w="534" w:type="dxa"/>
            <w:vAlign w:val="center"/>
          </w:tcPr>
          <w:p>
            <w:pPr>
              <w:jc w:val="both"/>
              <w:rPr>
                <w:rFonts w:hint="default"/>
                <w:vertAlign w:val="baseline"/>
                <w:lang w:val="en-US" w:eastAsia="zh-CN"/>
              </w:rPr>
            </w:pPr>
          </w:p>
        </w:tc>
      </w:tr>
    </w:tbl>
    <w:p>
      <w:pPr>
        <w:rPr>
          <w:rFonts w:hint="default"/>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E2750"/>
    <w:rsid w:val="021F54A3"/>
    <w:rsid w:val="03173B10"/>
    <w:rsid w:val="031A5426"/>
    <w:rsid w:val="04E67292"/>
    <w:rsid w:val="056F2BFE"/>
    <w:rsid w:val="05755B74"/>
    <w:rsid w:val="07C31234"/>
    <w:rsid w:val="09130B15"/>
    <w:rsid w:val="0A226FD2"/>
    <w:rsid w:val="0A547EE9"/>
    <w:rsid w:val="0E7B684B"/>
    <w:rsid w:val="0F82585F"/>
    <w:rsid w:val="12C6199D"/>
    <w:rsid w:val="13C47078"/>
    <w:rsid w:val="14A90D09"/>
    <w:rsid w:val="14FA1ECC"/>
    <w:rsid w:val="16201942"/>
    <w:rsid w:val="166E35E2"/>
    <w:rsid w:val="172C1787"/>
    <w:rsid w:val="17544282"/>
    <w:rsid w:val="18A1037C"/>
    <w:rsid w:val="18EC54ED"/>
    <w:rsid w:val="18F553CE"/>
    <w:rsid w:val="1917371A"/>
    <w:rsid w:val="1B042ACF"/>
    <w:rsid w:val="1C27746F"/>
    <w:rsid w:val="1C342779"/>
    <w:rsid w:val="1CAE2750"/>
    <w:rsid w:val="20EA2EFA"/>
    <w:rsid w:val="2745647C"/>
    <w:rsid w:val="281D0415"/>
    <w:rsid w:val="29767E2F"/>
    <w:rsid w:val="2A6003EB"/>
    <w:rsid w:val="2AE677B2"/>
    <w:rsid w:val="2E6D6793"/>
    <w:rsid w:val="33754147"/>
    <w:rsid w:val="355011A2"/>
    <w:rsid w:val="358931A2"/>
    <w:rsid w:val="364552D3"/>
    <w:rsid w:val="36544C14"/>
    <w:rsid w:val="36B00FEA"/>
    <w:rsid w:val="36E53C5A"/>
    <w:rsid w:val="394F205B"/>
    <w:rsid w:val="39967504"/>
    <w:rsid w:val="399D6589"/>
    <w:rsid w:val="39B34A64"/>
    <w:rsid w:val="3A0A1238"/>
    <w:rsid w:val="3A58536D"/>
    <w:rsid w:val="3BA53BA2"/>
    <w:rsid w:val="3BA84552"/>
    <w:rsid w:val="3E4259BC"/>
    <w:rsid w:val="3FC33736"/>
    <w:rsid w:val="428104B9"/>
    <w:rsid w:val="42D32F6B"/>
    <w:rsid w:val="43376767"/>
    <w:rsid w:val="44594877"/>
    <w:rsid w:val="452F2E36"/>
    <w:rsid w:val="4625498B"/>
    <w:rsid w:val="463A04E2"/>
    <w:rsid w:val="46762E90"/>
    <w:rsid w:val="476959D8"/>
    <w:rsid w:val="47743F24"/>
    <w:rsid w:val="4B094C2D"/>
    <w:rsid w:val="4DDF4F2C"/>
    <w:rsid w:val="4F045C76"/>
    <w:rsid w:val="4F717F69"/>
    <w:rsid w:val="54505195"/>
    <w:rsid w:val="55946C3E"/>
    <w:rsid w:val="572503AA"/>
    <w:rsid w:val="58052B49"/>
    <w:rsid w:val="585C5151"/>
    <w:rsid w:val="5871163D"/>
    <w:rsid w:val="5A4F526A"/>
    <w:rsid w:val="5C554CAC"/>
    <w:rsid w:val="5CD85BA5"/>
    <w:rsid w:val="5D53489A"/>
    <w:rsid w:val="5DA40A5F"/>
    <w:rsid w:val="5E0E02CD"/>
    <w:rsid w:val="61F00797"/>
    <w:rsid w:val="62940516"/>
    <w:rsid w:val="62E44212"/>
    <w:rsid w:val="64674318"/>
    <w:rsid w:val="65ED4F20"/>
    <w:rsid w:val="6A0A0C1C"/>
    <w:rsid w:val="6A5B4846"/>
    <w:rsid w:val="6AB41EAF"/>
    <w:rsid w:val="6B290085"/>
    <w:rsid w:val="6BBC2183"/>
    <w:rsid w:val="6E4F2FE4"/>
    <w:rsid w:val="6F9D49DE"/>
    <w:rsid w:val="718B56CD"/>
    <w:rsid w:val="72A43DFC"/>
    <w:rsid w:val="72BF1C26"/>
    <w:rsid w:val="73E7023E"/>
    <w:rsid w:val="73F14B64"/>
    <w:rsid w:val="744516B4"/>
    <w:rsid w:val="758978CB"/>
    <w:rsid w:val="75F134A8"/>
    <w:rsid w:val="76D31279"/>
    <w:rsid w:val="774E7BB9"/>
    <w:rsid w:val="78574C95"/>
    <w:rsid w:val="78736080"/>
    <w:rsid w:val="78F429A6"/>
    <w:rsid w:val="7A0978A9"/>
    <w:rsid w:val="7B923730"/>
    <w:rsid w:val="7C61542E"/>
    <w:rsid w:val="7D2676EE"/>
    <w:rsid w:val="7D811AFF"/>
    <w:rsid w:val="7E26105E"/>
    <w:rsid w:val="7F752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2019-11-07T01:58:00Z</dcterms:created>
  <dc:creator>岁月静好</dc:creator>
  <cp:lastModifiedBy>岁月静好</cp:lastModifiedBy>
  <dcterms:modified xsi:type="dcterms:W3CDTF">2020-04-08T09:45:30Z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