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9224">
      <w:pPr>
        <w:jc w:val="both"/>
        <w:rPr>
          <w:rFonts w:hint="eastAsia" w:ascii="宋体" w:hAnsi="宋体" w:eastAsia="宋体"/>
          <w:b/>
          <w:bCs/>
          <w:sz w:val="52"/>
          <w:szCs w:val="52"/>
        </w:rPr>
      </w:pPr>
    </w:p>
    <w:p w14:paraId="081182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朔州市朔城区</w:t>
      </w: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特优农业（蔬菜）</w:t>
      </w:r>
    </w:p>
    <w:p w14:paraId="2233D4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提质增效项目</w:t>
      </w:r>
      <w:r>
        <w:rPr>
          <w:rFonts w:hint="eastAsia" w:ascii="方正小标宋简体" w:hAnsi="方正小标宋简体" w:eastAsia="方正小标宋简体" w:cs="方正小标宋简体"/>
          <w:sz w:val="44"/>
          <w:szCs w:val="44"/>
          <w:lang w:eastAsia="zh-CN"/>
        </w:rPr>
        <w:t>摘要</w:t>
      </w:r>
    </w:p>
    <w:p w14:paraId="3AB9B31A">
      <w:pPr>
        <w:rPr>
          <w:rFonts w:hint="eastAsia" w:ascii="宋体" w:hAnsi="宋体" w:eastAsia="宋体"/>
          <w:b/>
          <w:bCs/>
          <w:sz w:val="28"/>
          <w:szCs w:val="28"/>
        </w:rPr>
      </w:pPr>
    </w:p>
    <w:p w14:paraId="65C98FB6">
      <w:pPr>
        <w:pStyle w:val="3"/>
        <w:pageBreakBefore w:val="0"/>
        <w:wordWrap/>
        <w:overflowPunct/>
        <w:topLinePunct w:val="0"/>
        <w:bidi w:val="0"/>
        <w:spacing w:before="120" w:after="120" w:line="600" w:lineRule="exact"/>
        <w:ind w:firstLine="640" w:firstLineChars="200"/>
        <w:rPr>
          <w:rFonts w:hint="eastAsia" w:ascii="方正黑体_GBK" w:hAnsi="方正黑体_GBK" w:eastAsia="方正黑体_GBK" w:cs="方正黑体_GBK"/>
          <w:b w:val="0"/>
          <w:bCs w:val="0"/>
          <w:sz w:val="32"/>
          <w:szCs w:val="32"/>
        </w:rPr>
      </w:pPr>
      <w:bookmarkStart w:id="0" w:name="OLE_LINK6"/>
      <w:bookmarkStart w:id="1" w:name="_Hlk229907108"/>
      <w:r>
        <w:rPr>
          <w:rFonts w:hint="eastAsia" w:ascii="方正黑体_GBK" w:hAnsi="方正黑体_GBK" w:eastAsia="方正黑体_GBK" w:cs="方正黑体_GBK"/>
          <w:b w:val="0"/>
          <w:bCs w:val="0"/>
          <w:sz w:val="32"/>
          <w:szCs w:val="32"/>
          <w:lang w:eastAsia="zh-CN"/>
        </w:rPr>
        <w:t>一、</w:t>
      </w:r>
      <w:r>
        <w:rPr>
          <w:rFonts w:hint="eastAsia" w:ascii="方正黑体_GBK" w:hAnsi="方正黑体_GBK" w:eastAsia="方正黑体_GBK" w:cs="方正黑体_GBK"/>
          <w:b w:val="0"/>
          <w:bCs w:val="0"/>
          <w:sz w:val="32"/>
          <w:szCs w:val="32"/>
        </w:rPr>
        <w:t>项目建设的有</w:t>
      </w:r>
      <w:r>
        <w:rPr>
          <w:rFonts w:hint="eastAsia" w:ascii="方正黑体_GBK" w:hAnsi="方正黑体_GBK" w:eastAsia="方正黑体_GBK" w:cs="方正黑体_GBK"/>
          <w:b w:val="0"/>
          <w:bCs w:val="0"/>
          <w:sz w:val="32"/>
          <w:szCs w:val="32"/>
          <w:lang w:eastAsia="zh-CN"/>
        </w:rPr>
        <w:t>利</w:t>
      </w:r>
      <w:r>
        <w:rPr>
          <w:rFonts w:hint="eastAsia" w:ascii="方正黑体_GBK" w:hAnsi="方正黑体_GBK" w:eastAsia="方正黑体_GBK" w:cs="方正黑体_GBK"/>
          <w:b w:val="0"/>
          <w:bCs w:val="0"/>
          <w:sz w:val="32"/>
          <w:szCs w:val="32"/>
        </w:rPr>
        <w:t>条件和可行性</w:t>
      </w:r>
    </w:p>
    <w:bookmarkEnd w:id="0"/>
    <w:p w14:paraId="1B9BE19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baseline"/>
        <w:rPr>
          <w:rFonts w:hint="eastAsia" w:ascii="方正仿宋_GBK" w:hAnsi="方正仿宋_GBK" w:eastAsia="方正仿宋_GBK" w:cs="方正仿宋_GBK"/>
          <w:sz w:val="32"/>
          <w:szCs w:val="32"/>
          <w:highlight w:val="yellow"/>
          <w:lang w:eastAsia="zh-CN"/>
        </w:rPr>
      </w:pPr>
      <w:r>
        <w:rPr>
          <w:rFonts w:hint="eastAsia" w:ascii="方正仿宋_GBK" w:hAnsi="方正仿宋_GBK" w:eastAsia="方正仿宋_GBK" w:cs="方正仿宋_GBK"/>
          <w:b/>
          <w:bCs/>
          <w:sz w:val="32"/>
          <w:szCs w:val="32"/>
        </w:rPr>
        <w:t>资源禀赋优越：</w:t>
      </w:r>
      <w:r>
        <w:rPr>
          <w:rFonts w:hint="eastAsia" w:ascii="方正仿宋_GBK" w:hAnsi="方正仿宋_GBK" w:eastAsia="方正仿宋_GBK" w:cs="方正仿宋_GBK"/>
          <w:sz w:val="32"/>
          <w:szCs w:val="32"/>
          <w:lang w:eastAsia="zh-CN"/>
        </w:rPr>
        <w:t>朔城区自然条件</w:t>
      </w:r>
      <w:r>
        <w:rPr>
          <w:rFonts w:hint="eastAsia" w:ascii="方正仿宋_GBK" w:hAnsi="方正仿宋_GBK" w:eastAsia="方正仿宋_GBK" w:cs="方正仿宋_GBK"/>
          <w:sz w:val="32"/>
          <w:szCs w:val="32"/>
        </w:rPr>
        <w:t>为蔬菜提质增效提供</w:t>
      </w:r>
      <w:r>
        <w:rPr>
          <w:rFonts w:hint="eastAsia" w:ascii="方正仿宋_GBK" w:hAnsi="方正仿宋_GBK" w:eastAsia="方正仿宋_GBK" w:cs="方正仿宋_GBK"/>
          <w:sz w:val="32"/>
          <w:szCs w:val="32"/>
          <w:lang w:eastAsia="zh-CN"/>
        </w:rPr>
        <w:t>有效</w:t>
      </w:r>
      <w:r>
        <w:rPr>
          <w:rFonts w:hint="eastAsia" w:ascii="方正仿宋_GBK" w:hAnsi="方正仿宋_GBK" w:eastAsia="方正仿宋_GBK" w:cs="方正仿宋_GBK"/>
          <w:sz w:val="32"/>
          <w:szCs w:val="32"/>
        </w:rPr>
        <w:t>支撑，地形便于大棚规模化布局和标准化建设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距离京津地区较近，交通十分便利。</w:t>
      </w:r>
      <w:r>
        <w:rPr>
          <w:rFonts w:hint="eastAsia" w:ascii="方正仿宋_GBK" w:hAnsi="方正仿宋_GBK" w:eastAsia="方正仿宋_GBK" w:cs="方正仿宋_GBK"/>
          <w:sz w:val="32"/>
          <w:szCs w:val="32"/>
          <w:lang w:eastAsia="zh-CN"/>
        </w:rPr>
        <w:t>近年来，在朔城区甘源种植专业合作社龙头带动下，全区设施彩椒发展取得了良好成效，因此发展以设施彩椒为主的特优蔬菜产业，可以作为全区特优产业发展的方向。</w:t>
      </w:r>
    </w:p>
    <w:p w14:paraId="01DBE20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产业基础扎实：</w:t>
      </w:r>
      <w:r>
        <w:rPr>
          <w:rFonts w:hint="eastAsia" w:ascii="方正仿宋_GBK" w:hAnsi="方正仿宋_GBK" w:eastAsia="方正仿宋_GBK" w:cs="方正仿宋_GBK"/>
          <w:sz w:val="32"/>
          <w:szCs w:val="32"/>
        </w:rPr>
        <w:t>设施蔬菜发展多年，形成神西彩椒、野狐涧果蔬、油坊头蔬菜等核心产区，现有各类塑料大棚数千座，具备大棚种植的成熟经验和技术储备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可快速承接大跨度塑料大棚及覆被式塑料大棚的建设、运营与管理，技术与人才储备充足。</w:t>
      </w:r>
    </w:p>
    <w:p w14:paraId="0F11135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市场需求旺盛：</w:t>
      </w:r>
      <w:r>
        <w:rPr>
          <w:rFonts w:hint="eastAsia" w:ascii="方正仿宋_GBK" w:hAnsi="方正仿宋_GBK" w:eastAsia="方正仿宋_GBK" w:cs="方正仿宋_GBK"/>
          <w:sz w:val="32"/>
          <w:szCs w:val="32"/>
        </w:rPr>
        <w:t>作为朔州主城区，56万人口刚需“菜篮子”；彩椒、圣女果等特优蔬菜远销北上广并出口俄罗斯、东南亚，高端果蔬采摘、订单农业需求增长，建设大跨度塑料大棚及覆被式塑料大棚，可提升蔬菜产能与品质，精准匹配市场升级需求，同时两种大棚适配不同季节、不同品类蔬菜种植，可延长供应周期。</w:t>
      </w:r>
    </w:p>
    <w:p w14:paraId="46BB6E88">
      <w:pPr>
        <w:pStyle w:val="3"/>
        <w:pageBreakBefore w:val="0"/>
        <w:wordWrap/>
        <w:overflowPunct/>
        <w:topLinePunct w:val="0"/>
        <w:bidi w:val="0"/>
        <w:spacing w:line="600" w:lineRule="exact"/>
        <w:ind w:firstLine="640" w:firstLineChars="200"/>
        <w:rPr>
          <w:rFonts w:hint="eastAsia" w:ascii="方正黑体_GBK" w:hAnsi="方正黑体_GBK" w:eastAsia="方正黑体_GBK" w:cs="方正黑体_GBK"/>
          <w:b w:val="0"/>
          <w:bCs/>
          <w:sz w:val="32"/>
          <w:szCs w:val="32"/>
          <w:highlight w:val="none"/>
        </w:rPr>
      </w:pPr>
      <w:r>
        <w:rPr>
          <w:rFonts w:hint="eastAsia" w:ascii="方正黑体_GBK" w:hAnsi="方正黑体_GBK" w:eastAsia="方正黑体_GBK" w:cs="方正黑体_GBK"/>
          <w:b w:val="0"/>
          <w:bCs/>
          <w:sz w:val="32"/>
          <w:szCs w:val="32"/>
          <w:highlight w:val="none"/>
          <w:lang w:eastAsia="zh-CN"/>
        </w:rPr>
        <w:t>二、</w:t>
      </w:r>
      <w:r>
        <w:rPr>
          <w:rFonts w:hint="eastAsia" w:ascii="方正黑体_GBK" w:hAnsi="方正黑体_GBK" w:eastAsia="方正黑体_GBK" w:cs="方正黑体_GBK"/>
          <w:b w:val="0"/>
          <w:bCs/>
          <w:sz w:val="32"/>
          <w:szCs w:val="32"/>
          <w:highlight w:val="none"/>
        </w:rPr>
        <w:t>项目</w:t>
      </w:r>
      <w:r>
        <w:rPr>
          <w:rFonts w:hint="eastAsia" w:ascii="方正黑体_GBK" w:hAnsi="方正黑体_GBK" w:eastAsia="方正黑体_GBK" w:cs="方正黑体_GBK"/>
          <w:b w:val="0"/>
          <w:bCs/>
          <w:sz w:val="32"/>
          <w:szCs w:val="32"/>
          <w:highlight w:val="none"/>
          <w:lang w:eastAsia="zh-CN"/>
        </w:rPr>
        <w:t>立项情</w:t>
      </w:r>
      <w:r>
        <w:rPr>
          <w:rFonts w:hint="eastAsia" w:ascii="方正黑体_GBK" w:hAnsi="方正黑体_GBK" w:eastAsia="方正黑体_GBK" w:cs="方正黑体_GBK"/>
          <w:b w:val="0"/>
          <w:bCs/>
          <w:sz w:val="32"/>
          <w:szCs w:val="32"/>
          <w:highlight w:val="none"/>
        </w:rPr>
        <w:t>况</w:t>
      </w:r>
    </w:p>
    <w:p w14:paraId="43833FF3">
      <w:pPr>
        <w:pageBreakBefore w:val="0"/>
        <w:tabs>
          <w:tab w:val="left" w:pos="720"/>
        </w:tabs>
        <w:wordWrap/>
        <w:overflowPunct/>
        <w:topLinePunct w:val="0"/>
        <w:bidi w:val="0"/>
        <w:adjustRightInd w:val="0"/>
        <w:snapToGrid w:val="0"/>
        <w:spacing w:before="120" w:beforeLines="50" w:after="120" w:afterLines="50" w:line="600" w:lineRule="exact"/>
        <w:ind w:firstLine="640" w:firstLineChars="200"/>
        <w:jc w:val="left"/>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按照《山西省农业农村厅</w:t>
      </w:r>
      <w:r>
        <w:rPr>
          <w:rFonts w:hint="eastAsia" w:ascii="方正仿宋_GBK" w:hAnsi="方正仿宋_GBK" w:eastAsia="方正仿宋_GBK" w:cs="方正仿宋_GBK"/>
          <w:sz w:val="32"/>
          <w:szCs w:val="32"/>
          <w:lang w:val="en-US" w:eastAsia="zh-CN"/>
        </w:rPr>
        <w:t xml:space="preserve"> 山西省财政厅关于做好特优农业提质增效项目竞争性遴选工作的通知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（晋农函</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66号）</w:t>
      </w:r>
      <w:r>
        <w:rPr>
          <w:rFonts w:hint="eastAsia" w:ascii="方正仿宋_GBK" w:hAnsi="方正仿宋_GBK" w:eastAsia="方正仿宋_GBK" w:cs="方正仿宋_GBK"/>
          <w:sz w:val="32"/>
          <w:szCs w:val="32"/>
          <w:lang w:eastAsia="zh-CN"/>
        </w:rPr>
        <w:t>要求，我区制定并上报了《朔州市朔城区特优农业（蔬菜）提质增效项目建设方案》，经过省农业农村厅组织的竞争性遴选，入围</w:t>
      </w:r>
      <w:r>
        <w:rPr>
          <w:rFonts w:hint="eastAsia" w:ascii="方正仿宋_GBK" w:hAnsi="方正仿宋_GBK" w:eastAsia="方正仿宋_GBK" w:cs="方正仿宋_GBK"/>
          <w:sz w:val="32"/>
          <w:szCs w:val="32"/>
          <w:lang w:val="en-US" w:eastAsia="zh-CN"/>
        </w:rPr>
        <w:t>2026年全省特优农业提质增效项目立项名单，朔州市财政局5月15日《朔州市财政局关于下达2026年省级特优农业竞争性分配项目资金指标的通知》（朔财农〔2026〕15号），下达资金预算指标分配表及任务清单，朔城区实施特优农业提质增效项目1个，拟安排预算2100万元，并下达前期预算资金1470万元。</w:t>
      </w:r>
    </w:p>
    <w:p w14:paraId="043CFF68">
      <w:pPr>
        <w:keepNext w:val="0"/>
        <w:keepLines w:val="0"/>
        <w:pageBreakBefore w:val="0"/>
        <w:widowControl w:val="0"/>
        <w:tabs>
          <w:tab w:val="left" w:pos="720"/>
        </w:tabs>
        <w:kinsoku/>
        <w:wordWrap/>
        <w:overflowPunct/>
        <w:topLinePunct w:val="0"/>
        <w:autoSpaceDE/>
        <w:autoSpaceDN/>
        <w:bidi w:val="0"/>
        <w:adjustRightInd w:val="0"/>
        <w:snapToGrid w:val="0"/>
        <w:spacing w:before="120" w:beforeLines="50" w:after="120" w:afterLines="50" w:line="600" w:lineRule="exact"/>
        <w:ind w:firstLine="640" w:firstLineChars="200"/>
        <w:jc w:val="left"/>
        <w:textAlignment w:val="baseline"/>
        <w:rPr>
          <w:rFonts w:hint="eastAsia" w:ascii="方正黑体_GBK" w:hAnsi="方正黑体_GBK" w:eastAsia="方正黑体_GBK" w:cs="方正黑体_GBK"/>
          <w:b w:val="0"/>
          <w:bCs/>
          <w:sz w:val="32"/>
          <w:szCs w:val="32"/>
        </w:rPr>
      </w:pPr>
      <w:bookmarkStart w:id="2" w:name="bookmark13"/>
      <w:bookmarkEnd w:id="2"/>
      <w:bookmarkStart w:id="3" w:name="bookmark14"/>
      <w:bookmarkEnd w:id="3"/>
      <w:r>
        <w:rPr>
          <w:rFonts w:hint="eastAsia" w:ascii="方正黑体_GBK" w:hAnsi="方正黑体_GBK" w:eastAsia="方正黑体_GBK" w:cs="方正黑体_GBK"/>
          <w:b w:val="0"/>
          <w:bCs/>
          <w:sz w:val="32"/>
          <w:szCs w:val="32"/>
          <w:lang w:eastAsia="zh-CN"/>
        </w:rPr>
        <w:t>三</w:t>
      </w:r>
      <w:r>
        <w:rPr>
          <w:rFonts w:hint="eastAsia" w:ascii="方正黑体_GBK" w:hAnsi="方正黑体_GBK" w:eastAsia="方正黑体_GBK" w:cs="方正黑体_GBK"/>
          <w:b w:val="0"/>
          <w:bCs/>
          <w:sz w:val="32"/>
          <w:szCs w:val="32"/>
        </w:rPr>
        <w:t>、项目建设内容</w:t>
      </w:r>
    </w:p>
    <w:p w14:paraId="74DA9D3D">
      <w:pPr>
        <w:pStyle w:val="11"/>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baseline"/>
        <w:rPr>
          <w:rFonts w:hint="eastAsia" w:ascii="方正仿宋_GBK" w:hAnsi="方正仿宋_GBK" w:eastAsia="方正仿宋_GBK" w:cs="方正仿宋_GBK"/>
          <w:snapToGrid/>
          <w:color w:val="auto"/>
          <w:kern w:val="2"/>
          <w:sz w:val="32"/>
          <w:szCs w:val="32"/>
          <w:lang w:val="en-US" w:eastAsia="zh-CN" w:bidi="ar-SA"/>
        </w:rPr>
      </w:pPr>
      <w:r>
        <w:rPr>
          <w:rFonts w:hint="eastAsia" w:ascii="方正仿宋_GBK" w:hAnsi="方正仿宋_GBK" w:eastAsia="方正仿宋_GBK" w:cs="方正仿宋_GBK"/>
          <w:snapToGrid/>
          <w:color w:val="auto"/>
          <w:kern w:val="2"/>
          <w:sz w:val="32"/>
          <w:szCs w:val="32"/>
          <w:lang w:val="en-US" w:eastAsia="zh-CN" w:bidi="ar-SA"/>
        </w:rPr>
        <w:t>前期第一批计划新建改造大棚共326.99亩、新建冷库1个、分拣包装线1条，并完成品牌推广工作，由8家经营主体具体实施，项目概算总投资3530.26万元。</w:t>
      </w:r>
    </w:p>
    <w:p w14:paraId="4264C6E3">
      <w:pPr>
        <w:pStyle w:val="11"/>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baseline"/>
        <w:rPr>
          <w:rFonts w:hint="eastAsia" w:ascii="方正仿宋_GBK" w:hAnsi="方正仿宋_GBK" w:eastAsia="方正仿宋_GBK" w:cs="方正仿宋_GBK"/>
          <w:b w:val="0"/>
          <w:spacing w:val="8"/>
          <w:sz w:val="32"/>
          <w:szCs w:val="32"/>
          <w:lang w:val="en-US"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b w:val="0"/>
          <w:spacing w:val="8"/>
          <w:sz w:val="32"/>
          <w:szCs w:val="32"/>
          <w:lang w:val="en-US" w:eastAsia="zh-CN"/>
        </w:rPr>
        <w:t>朔州市朔城区甘源种植专业合作社。位于神头镇神西村，新建钢架大棚15 亩。总概算投资78.25万元。</w:t>
      </w:r>
    </w:p>
    <w:p w14:paraId="00D6F952">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193" w:rightChars="0" w:firstLine="672" w:firstLineChars="200"/>
        <w:textAlignment w:val="baseline"/>
        <w:rPr>
          <w:rFonts w:hint="eastAsia" w:ascii="方正仿宋_GBK" w:hAnsi="方正仿宋_GBK" w:eastAsia="方正仿宋_GBK" w:cs="方正仿宋_GBK"/>
          <w:b w:val="0"/>
          <w:spacing w:val="8"/>
          <w:sz w:val="32"/>
          <w:szCs w:val="32"/>
          <w:lang w:val="en-US" w:eastAsia="zh-CN"/>
        </w:rPr>
      </w:pPr>
      <w:r>
        <w:rPr>
          <w:rFonts w:hint="eastAsia" w:ascii="方正仿宋_GBK" w:hAnsi="方正仿宋_GBK" w:eastAsia="方正仿宋_GBK" w:cs="方正仿宋_GBK"/>
          <w:b w:val="0"/>
          <w:spacing w:val="8"/>
          <w:sz w:val="32"/>
          <w:szCs w:val="32"/>
          <w:lang w:val="en-US" w:eastAsia="zh-CN"/>
        </w:rPr>
        <w:t>2、朔州市平琛农业发展有限公司。位于下团堡乡筷子坪村北，计划改造原有温室大棚8.4亩为双拱双膜覆被式大棚，新建双拱双膜覆被式大棚18亩，场地已平整，正在筹备中，概算总投资363.21万元。</w:t>
      </w:r>
    </w:p>
    <w:p w14:paraId="0F011D3B">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193" w:rightChars="0" w:firstLine="672" w:firstLineChars="200"/>
        <w:textAlignment w:val="baseline"/>
        <w:rPr>
          <w:rFonts w:hint="eastAsia" w:ascii="方正仿宋_GBK" w:hAnsi="方正仿宋_GBK" w:eastAsia="方正仿宋_GBK" w:cs="方正仿宋_GBK"/>
          <w:b w:val="0"/>
          <w:spacing w:val="8"/>
          <w:sz w:val="32"/>
          <w:szCs w:val="32"/>
          <w:lang w:val="en-US" w:eastAsia="zh-CN"/>
        </w:rPr>
      </w:pPr>
      <w:r>
        <w:rPr>
          <w:rFonts w:hint="eastAsia" w:ascii="方正仿宋_GBK" w:hAnsi="方正仿宋_GBK" w:eastAsia="方正仿宋_GBK" w:cs="方正仿宋_GBK"/>
          <w:b w:val="0"/>
          <w:spacing w:val="8"/>
          <w:sz w:val="32"/>
          <w:szCs w:val="32"/>
          <w:lang w:val="en-US" w:eastAsia="zh-CN"/>
        </w:rPr>
        <w:t>3、朔州山晋庄稼汉农牧发展有限公司。位于下团堡乡霍庄村，计划建设蔬菜分拣线清洗线包装线等生产设备、一体化厂房（含冷库）及品牌建设推广，总概算投资1039.23万元，主体项目启动资金已到位304万元。</w:t>
      </w:r>
    </w:p>
    <w:p w14:paraId="1340E78E">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193" w:rightChars="0" w:firstLine="672" w:firstLineChars="200"/>
        <w:textAlignment w:val="baseline"/>
        <w:rPr>
          <w:rFonts w:hint="eastAsia" w:ascii="方正仿宋_GBK" w:hAnsi="方正仿宋_GBK" w:eastAsia="方正仿宋_GBK" w:cs="方正仿宋_GBK"/>
          <w:b w:val="0"/>
          <w:spacing w:val="8"/>
          <w:sz w:val="32"/>
          <w:szCs w:val="32"/>
          <w:lang w:val="en-US" w:eastAsia="zh-CN"/>
        </w:rPr>
      </w:pPr>
      <w:r>
        <w:rPr>
          <w:rFonts w:hint="eastAsia" w:ascii="方正仿宋_GBK" w:hAnsi="方正仿宋_GBK" w:eastAsia="方正仿宋_GBK" w:cs="方正仿宋_GBK"/>
          <w:b w:val="0"/>
          <w:spacing w:val="8"/>
          <w:sz w:val="32"/>
          <w:szCs w:val="32"/>
          <w:lang w:val="en-US" w:eastAsia="zh-CN"/>
        </w:rPr>
        <w:t>4、山西鑫汇盛现代农业有限公司。位于南榆林乡东村，计划新建跨度10米以上全钢架塑料大棚10亩，概算总投资52.6万元。</w:t>
      </w:r>
    </w:p>
    <w:p w14:paraId="58D1BA8D">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191" w:rightChars="0" w:firstLine="672" w:firstLineChars="200"/>
        <w:textAlignment w:val="baseline"/>
        <w:rPr>
          <w:rFonts w:hint="eastAsia" w:ascii="方正仿宋_GBK" w:hAnsi="方正仿宋_GBK" w:eastAsia="方正仿宋_GBK" w:cs="方正仿宋_GBK"/>
          <w:b w:val="0"/>
          <w:spacing w:val="8"/>
          <w:sz w:val="32"/>
          <w:szCs w:val="32"/>
          <w:lang w:val="en-US" w:eastAsia="zh-CN"/>
        </w:rPr>
      </w:pPr>
      <w:r>
        <w:rPr>
          <w:rFonts w:hint="eastAsia" w:ascii="方正仿宋_GBK" w:hAnsi="方正仿宋_GBK" w:eastAsia="方正仿宋_GBK" w:cs="方正仿宋_GBK"/>
          <w:b w:val="0"/>
          <w:spacing w:val="8"/>
          <w:sz w:val="32"/>
          <w:szCs w:val="32"/>
          <w:lang w:val="en-US" w:eastAsia="zh-CN"/>
        </w:rPr>
        <w:t>5、朔州市朔城区泰富种植专业合作社。位于贾庄乡南曹村，计划新建10亩全钢架大棚，概算总投资53.1万元。</w:t>
      </w:r>
    </w:p>
    <w:p w14:paraId="253FEAF9">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191" w:rightChars="0" w:firstLine="672" w:firstLineChars="200"/>
        <w:textAlignment w:val="baseline"/>
        <w:rPr>
          <w:rFonts w:hint="eastAsia" w:ascii="方正仿宋_GBK" w:hAnsi="方正仿宋_GBK" w:eastAsia="方正仿宋_GBK" w:cs="方正仿宋_GBK"/>
          <w:b w:val="0"/>
          <w:spacing w:val="8"/>
          <w:sz w:val="32"/>
          <w:szCs w:val="32"/>
          <w:highlight w:val="green"/>
          <w:lang w:val="en-US" w:eastAsia="zh-CN"/>
        </w:rPr>
      </w:pPr>
      <w:r>
        <w:rPr>
          <w:rFonts w:hint="eastAsia" w:ascii="方正仿宋_GBK" w:hAnsi="方正仿宋_GBK" w:eastAsia="方正仿宋_GBK" w:cs="方正仿宋_GBK"/>
          <w:b w:val="0"/>
          <w:spacing w:val="8"/>
          <w:sz w:val="32"/>
          <w:szCs w:val="32"/>
          <w:lang w:val="en-US" w:eastAsia="zh-CN"/>
        </w:rPr>
        <w:t>6、朔州市盛腾农业有限公司。位于神头镇水磨头村，2026年1月开工在建，已于3月底已完成85亩新建钢架大棚主体工程，预计建设钢架大棚90亩，覆被式全钢架大棚90亩，项目概算总投资1308.45万元。</w:t>
      </w:r>
    </w:p>
    <w:p w14:paraId="354791D4">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191" w:rightChars="0" w:firstLine="672" w:firstLineChars="200"/>
        <w:jc w:val="both"/>
        <w:textAlignment w:val="baseline"/>
        <w:rPr>
          <w:rFonts w:hint="eastAsia" w:ascii="方正仿宋_GBK" w:hAnsi="方正仿宋_GBK" w:eastAsia="方正仿宋_GBK" w:cs="方正仿宋_GBK"/>
          <w:b w:val="0"/>
          <w:spacing w:val="8"/>
          <w:sz w:val="32"/>
          <w:szCs w:val="32"/>
          <w:lang w:val="en-US" w:eastAsia="zh-CN"/>
        </w:rPr>
      </w:pPr>
      <w:r>
        <w:rPr>
          <w:rFonts w:hint="eastAsia" w:ascii="方正仿宋_GBK" w:hAnsi="方正仿宋_GBK" w:eastAsia="方正仿宋_GBK" w:cs="方正仿宋_GBK"/>
          <w:b w:val="0"/>
          <w:spacing w:val="8"/>
          <w:sz w:val="32"/>
          <w:szCs w:val="32"/>
          <w:lang w:val="en-US" w:eastAsia="zh-CN"/>
        </w:rPr>
        <w:t>7、朔州市朔城区旺欣农场。位于神头镇神西村，计划新建跨度10米以上全钢架大棚20个，棚内面积约27.28亩，2026年1月开工在建，3月底已完成新建27.28亩跨度12.5米钢架大棚主体工程，项目概算总投资145.64万元。</w:t>
      </w:r>
    </w:p>
    <w:p w14:paraId="16C8A37A">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191" w:rightChars="0" w:firstLine="672" w:firstLineChars="200"/>
        <w:jc w:val="both"/>
        <w:textAlignment w:val="baseline"/>
        <w:rPr>
          <w:rFonts w:hint="eastAsia" w:ascii="方正仿宋_GBK" w:hAnsi="方正仿宋_GBK" w:eastAsia="方正仿宋_GBK" w:cs="方正仿宋_GBK"/>
          <w:b w:val="0"/>
          <w:spacing w:val="8"/>
          <w:sz w:val="32"/>
          <w:szCs w:val="32"/>
          <w:lang w:val="en-US" w:eastAsia="zh-CN"/>
        </w:rPr>
      </w:pPr>
      <w:r>
        <w:rPr>
          <w:rFonts w:hint="eastAsia" w:ascii="方正仿宋_GBK" w:hAnsi="方正仿宋_GBK" w:eastAsia="方正仿宋_GBK" w:cs="方正仿宋_GBK"/>
          <w:b w:val="0"/>
          <w:spacing w:val="8"/>
          <w:sz w:val="32"/>
          <w:szCs w:val="32"/>
          <w:lang w:val="en-US" w:eastAsia="zh-CN"/>
        </w:rPr>
        <w:t>8、朔州市朔城区富娥种植专业合作社。位于张蔡庄乡张蔡庄</w:t>
      </w:r>
      <w:bookmarkStart w:id="4" w:name="_GoBack"/>
      <w:bookmarkEnd w:id="4"/>
      <w:r>
        <w:rPr>
          <w:rFonts w:hint="eastAsia" w:ascii="方正仿宋_GBK" w:hAnsi="方正仿宋_GBK" w:eastAsia="方正仿宋_GBK" w:cs="方正仿宋_GBK"/>
          <w:b w:val="0"/>
          <w:spacing w:val="8"/>
          <w:sz w:val="32"/>
          <w:szCs w:val="32"/>
          <w:lang w:val="en-US" w:eastAsia="zh-CN"/>
        </w:rPr>
        <w:t>村，计划新建跨度10米以上全钢架覆被式大棚50亩，项目概算总投资489.78万元。</w:t>
      </w:r>
    </w:p>
    <w:p w14:paraId="66CBBB32">
      <w:pPr>
        <w:pStyle w:val="4"/>
        <w:pageBreakBefore w:val="0"/>
        <w:wordWrap/>
        <w:overflowPunct/>
        <w:topLinePunct w:val="0"/>
        <w:bidi w:val="0"/>
        <w:spacing w:line="600" w:lineRule="exact"/>
        <w:ind w:firstLine="640" w:firstLineChars="200"/>
        <w:rPr>
          <w:rFonts w:hint="eastAsia" w:ascii="方正黑体_GBK" w:hAnsi="方正黑体_GBK" w:eastAsia="方正黑体_GBK" w:cs="方正黑体_GBK"/>
          <w:b w:val="0"/>
          <w:bCs/>
          <w:color w:val="auto"/>
          <w:kern w:val="2"/>
          <w:sz w:val="32"/>
          <w:szCs w:val="32"/>
          <w:lang w:val="en-US" w:eastAsia="zh-CN" w:bidi="ar-SA"/>
        </w:rPr>
      </w:pPr>
      <w:r>
        <w:rPr>
          <w:rFonts w:hint="eastAsia" w:ascii="方正黑体_GBK" w:hAnsi="方正黑体_GBK" w:eastAsia="方正黑体_GBK" w:cs="方正黑体_GBK"/>
          <w:b w:val="0"/>
          <w:bCs/>
          <w:color w:val="auto"/>
          <w:kern w:val="2"/>
          <w:sz w:val="32"/>
          <w:szCs w:val="32"/>
          <w:lang w:val="en-US" w:eastAsia="zh-CN" w:bidi="ar-SA"/>
        </w:rPr>
        <w:t>四、项目建设组织管理</w:t>
      </w:r>
    </w:p>
    <w:p w14:paraId="54591D0C">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highlight w:val="none"/>
          <w:lang w:val="en-US" w:eastAsia="zh-CN"/>
        </w:rPr>
        <w:t>一是实行项目法人制。</w:t>
      </w:r>
      <w:r>
        <w:rPr>
          <w:rFonts w:hint="eastAsia" w:ascii="方正仿宋_GBK" w:hAnsi="方正仿宋_GBK" w:eastAsia="方正仿宋_GBK" w:cs="方正仿宋_GBK"/>
          <w:sz w:val="32"/>
          <w:szCs w:val="32"/>
          <w:highlight w:val="none"/>
          <w:lang w:val="en-US" w:eastAsia="zh-CN"/>
        </w:rPr>
        <w:t>各实施主体以法人单位组织成立项目建设专班负责项目的建设和组织</w:t>
      </w:r>
      <w:r>
        <w:rPr>
          <w:rFonts w:hint="eastAsia" w:ascii="方正仿宋_GBK" w:hAnsi="方正仿宋_GBK" w:eastAsia="方正仿宋_GBK" w:cs="方正仿宋_GBK"/>
          <w:sz w:val="32"/>
          <w:szCs w:val="32"/>
          <w:lang w:val="en-US" w:eastAsia="zh-CN"/>
        </w:rPr>
        <w:t>，保障项目顺利实施。</w:t>
      </w:r>
    </w:p>
    <w:p w14:paraId="307200D0">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二是实行招投标管理制。</w:t>
      </w:r>
      <w:r>
        <w:rPr>
          <w:rFonts w:hint="eastAsia" w:ascii="方正仿宋_GBK" w:hAnsi="方正仿宋_GBK" w:eastAsia="方正仿宋_GBK" w:cs="方正仿宋_GBK"/>
          <w:sz w:val="32"/>
          <w:szCs w:val="32"/>
          <w:lang w:val="en-US" w:eastAsia="zh-CN"/>
        </w:rPr>
        <w:t>根据申报项目特点及具体情况，按照《中华人民共和国招投标法》《必须招标的工程项目规定》（国家发展改革委令2018年第16号）等有关法律法规及政策文件规定，需要招投标推进的项目，由实施主体组织招投标。</w:t>
      </w:r>
    </w:p>
    <w:p w14:paraId="1FC26A77">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三是实行项目管理合同制。</w:t>
      </w:r>
      <w:r>
        <w:rPr>
          <w:rFonts w:hint="eastAsia" w:ascii="方正仿宋_GBK" w:hAnsi="方正仿宋_GBK" w:eastAsia="方正仿宋_GBK" w:cs="方正仿宋_GBK"/>
          <w:sz w:val="32"/>
          <w:szCs w:val="32"/>
          <w:lang w:val="en-US" w:eastAsia="zh-CN"/>
        </w:rPr>
        <w:t>根据项目实施要求，按照批准的实施方案，结合该项目的实际情况，由项目管理单位与实施主体签订项目管理合同，按照合同要求有序推进。</w:t>
      </w:r>
    </w:p>
    <w:p w14:paraId="57B1E7FA">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四是实行项目工程监理制。</w:t>
      </w:r>
      <w:r>
        <w:rPr>
          <w:rFonts w:hint="eastAsia" w:ascii="方正仿宋_GBK" w:hAnsi="方正仿宋_GBK" w:eastAsia="方正仿宋_GBK" w:cs="方正仿宋_GBK"/>
          <w:sz w:val="32"/>
          <w:szCs w:val="32"/>
          <w:lang w:val="en-US" w:eastAsia="zh-CN"/>
        </w:rPr>
        <w:t>各实施主体作为工程建设单位，要按具体的工程要求履行好项目工程监理制，发挥专业监理单位职能作用，严格工程材料使用、施工监管、工程验收等环节管理，确保工程规范建设。</w:t>
      </w:r>
    </w:p>
    <w:p w14:paraId="60F8C7B7">
      <w:pPr>
        <w:pStyle w:val="3"/>
        <w:pageBreakBefore w:val="0"/>
        <w:numPr>
          <w:ilvl w:val="0"/>
          <w:numId w:val="0"/>
        </w:numPr>
        <w:kinsoku/>
        <w:wordWrap/>
        <w:overflowPunct/>
        <w:topLinePunct w:val="0"/>
        <w:bidi w:val="0"/>
        <w:spacing w:line="600" w:lineRule="atLeast"/>
        <w:ind w:firstLine="640" w:firstLineChars="200"/>
        <w:rPr>
          <w:rFonts w:hint="eastAsia" w:ascii="方正黑体_GBK" w:hAnsi="方正黑体_GBK" w:eastAsia="方正黑体_GBK" w:cs="方正黑体_GBK"/>
          <w:b w:val="0"/>
          <w:bCs/>
          <w:color w:val="auto"/>
          <w:sz w:val="32"/>
          <w:szCs w:val="32"/>
          <w:lang w:val="en-US" w:eastAsia="zh-CN"/>
        </w:rPr>
      </w:pPr>
      <w:r>
        <w:rPr>
          <w:rFonts w:hint="eastAsia" w:ascii="方正黑体_GBK" w:hAnsi="方正黑体_GBK" w:eastAsia="方正黑体_GBK" w:cs="方正黑体_GBK"/>
          <w:b w:val="0"/>
          <w:bCs/>
          <w:color w:val="auto"/>
          <w:sz w:val="32"/>
          <w:szCs w:val="32"/>
          <w:lang w:val="en-US" w:eastAsia="zh-CN"/>
        </w:rPr>
        <w:t>五、项目分类建设要求及预期效益</w:t>
      </w:r>
    </w:p>
    <w:p w14:paraId="5A58AD78">
      <w:pPr>
        <w:pageBreakBefore w:val="0"/>
        <w:numPr>
          <w:ilvl w:val="0"/>
          <w:numId w:val="0"/>
        </w:numPr>
        <w:kinsoku/>
        <w:wordWrap/>
        <w:overflowPunct/>
        <w:topLinePunct w:val="0"/>
        <w:bidi w:val="0"/>
        <w:spacing w:line="600" w:lineRule="atLeast"/>
        <w:ind w:firstLine="675" w:firstLineChars="200"/>
        <w:rPr>
          <w:rFonts w:hint="eastAsia"/>
          <w:highlight w:val="none"/>
          <w:shd w:val="clear" w:color="auto" w:fill="auto"/>
          <w:lang w:val="en-US" w:eastAsia="zh-CN"/>
        </w:rPr>
      </w:pPr>
      <w:r>
        <w:rPr>
          <w:rFonts w:hint="eastAsia" w:ascii="方正楷体_GB2312" w:hAnsi="方正楷体_GB2312" w:eastAsia="方正楷体_GB2312" w:cs="方正楷体_GB2312"/>
          <w:b/>
          <w:bCs/>
          <w:snapToGrid w:val="0"/>
          <w:color w:val="000000"/>
          <w:spacing w:val="8"/>
          <w:kern w:val="0"/>
          <w:sz w:val="32"/>
          <w:szCs w:val="32"/>
          <w:highlight w:val="none"/>
          <w:shd w:val="clear" w:color="auto" w:fill="auto"/>
          <w:lang w:val="en-US" w:eastAsia="zh-CN" w:bidi="ar-SA"/>
        </w:rPr>
        <w:t>（一）新建改造大棚项目</w:t>
      </w:r>
    </w:p>
    <w:p w14:paraId="2D9532A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b w:val="0"/>
          <w:snapToGrid w:val="0"/>
          <w:color w:val="000000"/>
          <w:spacing w:val="8"/>
          <w:kern w:val="0"/>
          <w:sz w:val="32"/>
          <w:szCs w:val="32"/>
          <w:highlight w:val="yellow"/>
          <w:shd w:val="clear" w:color="FFFFFF" w:fill="D9D9D9"/>
          <w:lang w:val="en-US" w:eastAsia="zh-CN" w:bidi="ar-SA"/>
        </w:rPr>
      </w:pPr>
      <w:r>
        <w:rPr>
          <w:rFonts w:hint="eastAsia" w:ascii="方正仿宋_GBK" w:hAnsi="方正仿宋_GBK" w:eastAsia="方正仿宋_GBK" w:cs="方正仿宋_GBK"/>
          <w:sz w:val="32"/>
          <w:szCs w:val="32"/>
          <w:lang w:val="en-US" w:eastAsia="zh-CN"/>
        </w:rPr>
        <w:t>第一批有8家经营主体申报新建改造蔬菜大棚。其中新建钢架大棚、覆被式全钢架大棚317.28亩，涉及7个实施主体，在建127.28亩，计划新建190亩。项目建成并运行后，新增固定资产投资超过2000万元，全面增强我区特优农业基础实力</w:t>
      </w:r>
    </w:p>
    <w:p w14:paraId="0894B030">
      <w:pPr>
        <w:keepNext w:val="0"/>
        <w:keepLines w:val="0"/>
        <w:pageBreakBefore w:val="0"/>
        <w:widowControl/>
        <w:suppressLineNumbers w:val="0"/>
        <w:kinsoku/>
        <w:wordWrap/>
        <w:overflowPunct/>
        <w:topLinePunct w:val="0"/>
        <w:autoSpaceDE/>
        <w:autoSpaceDN/>
        <w:bidi w:val="0"/>
        <w:adjustRightInd/>
        <w:spacing w:line="600" w:lineRule="exact"/>
        <w:ind w:firstLine="643" w:firstLineChars="200"/>
        <w:jc w:val="left"/>
        <w:textAlignment w:val="auto"/>
        <w:rPr>
          <w:rFonts w:hint="eastAsia" w:ascii="方正楷体_GB2312" w:hAnsi="方正楷体_GB2312" w:eastAsia="方正楷体_GB2312" w:cs="方正楷体_GB2312"/>
          <w:b/>
          <w:bCs/>
          <w:color w:val="auto"/>
          <w:kern w:val="0"/>
          <w:sz w:val="32"/>
          <w:szCs w:val="32"/>
          <w:lang w:val="en-US" w:eastAsia="zh-CN" w:bidi="ar"/>
        </w:rPr>
      </w:pPr>
      <w:r>
        <w:rPr>
          <w:rFonts w:hint="eastAsia" w:ascii="方正楷体_GB2312" w:hAnsi="方正楷体_GB2312" w:eastAsia="方正楷体_GB2312" w:cs="方正楷体_GB2312"/>
          <w:b/>
          <w:bCs/>
          <w:color w:val="auto"/>
          <w:kern w:val="0"/>
          <w:sz w:val="32"/>
          <w:szCs w:val="32"/>
          <w:lang w:val="en-US" w:eastAsia="zh-CN" w:bidi="ar"/>
        </w:rPr>
        <w:t>（二）蔬菜预冷加工和品牌培育项目</w:t>
      </w:r>
    </w:p>
    <w:p w14:paraId="3BB0D1A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新建综合仓储加工仓库一座，总建筑面积3113.11平方米。车间内部配套建设蔬菜加工区、智能冷藏区、打包区、成品区，通过分级筛选实现产品标准化程度提升，附加价值显著增加，精品菜的溢价空间较统货提升10%-20%、摆脱“只能走地头菜”的局限。品牌培育是以线上品牌培育为主，打通线上销售渠道，解决地方农产品无品牌，无溢价的情况，在抖音、快手、京东、淘宝、拼多多等国内主流电商平台进行广告推广。</w:t>
      </w:r>
      <w:r>
        <w:rPr>
          <w:rFonts w:hint="eastAsia" w:ascii="方正仿宋_GBK" w:hAnsi="方正仿宋_GBK" w:eastAsia="方正仿宋_GBK" w:cs="方正仿宋_GBK"/>
          <w:b w:val="0"/>
          <w:bCs w:val="0"/>
          <w:sz w:val="32"/>
          <w:szCs w:val="32"/>
          <w:lang w:val="en-US" w:eastAsia="zh-CN"/>
        </w:rPr>
        <w:t>项目建成运行后，</w:t>
      </w:r>
      <w:r>
        <w:rPr>
          <w:rFonts w:hint="default" w:ascii="方正仿宋_GBK" w:hAnsi="方正仿宋_GBK" w:eastAsia="方正仿宋_GBK" w:cs="方正仿宋_GBK"/>
          <w:sz w:val="32"/>
          <w:szCs w:val="32"/>
          <w:lang w:val="en-US" w:eastAsia="zh-CN"/>
        </w:rPr>
        <w:t>产品损耗显著下降，农产品损耗率由</w:t>
      </w:r>
      <w:r>
        <w:rPr>
          <w:rFonts w:hint="eastAsia" w:ascii="方正仿宋_GBK" w:hAnsi="方正仿宋_GBK" w:eastAsia="方正仿宋_GBK" w:cs="方正仿宋_GBK"/>
          <w:sz w:val="32"/>
          <w:szCs w:val="32"/>
          <w:lang w:val="en-US" w:eastAsia="zh-CN"/>
        </w:rPr>
        <w:t>10</w:t>
      </w:r>
      <w:r>
        <w:rPr>
          <w:rFonts w:hint="default" w:ascii="方正仿宋_GBK" w:hAnsi="方正仿宋_GBK" w:eastAsia="方正仿宋_GBK" w:cs="方正仿宋_GBK"/>
          <w:sz w:val="32"/>
          <w:szCs w:val="32"/>
          <w:lang w:val="en-US" w:eastAsia="zh-CN"/>
        </w:rPr>
        <w:t>%以上降至</w:t>
      </w:r>
      <w:r>
        <w:rPr>
          <w:rFonts w:hint="eastAsia" w:ascii="方正仿宋_GBK" w:hAnsi="方正仿宋_GBK" w:eastAsia="方正仿宋_GBK" w:cs="方正仿宋_GBK"/>
          <w:sz w:val="32"/>
          <w:szCs w:val="32"/>
          <w:lang w:val="en-US" w:eastAsia="zh-CN"/>
        </w:rPr>
        <w:t>5</w:t>
      </w:r>
      <w:r>
        <w:rPr>
          <w:rFonts w:hint="default" w:ascii="方正仿宋_GBK" w:hAnsi="方正仿宋_GBK" w:eastAsia="方正仿宋_GBK" w:cs="方正仿宋_GBK"/>
          <w:sz w:val="32"/>
          <w:szCs w:val="32"/>
          <w:lang w:val="en-US" w:eastAsia="zh-CN"/>
        </w:rPr>
        <w:t>%以下，减少资源浪费与经济损耗</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产品溢价提升10%-20%，</w:t>
      </w:r>
      <w:r>
        <w:rPr>
          <w:rFonts w:hint="eastAsia" w:ascii="方正仿宋_GBK" w:hAnsi="方正仿宋_GBK" w:eastAsia="方正仿宋_GBK" w:cs="方正仿宋_GBK"/>
          <w:sz w:val="32"/>
          <w:szCs w:val="32"/>
          <w:lang w:val="en-US" w:eastAsia="zh-CN"/>
        </w:rPr>
        <w:t>培育</w:t>
      </w:r>
      <w:r>
        <w:rPr>
          <w:rFonts w:hint="default" w:ascii="方正仿宋_GBK" w:hAnsi="方正仿宋_GBK" w:eastAsia="方正仿宋_GBK" w:cs="方正仿宋_GBK"/>
          <w:sz w:val="32"/>
          <w:szCs w:val="32"/>
          <w:lang w:val="en-US" w:eastAsia="zh-CN"/>
        </w:rPr>
        <w:t>品牌经济收益</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省去中间批发商层层加价环节，缩短流通链路，直接降低流通成本10%以上。拓宽全国销售市场，加快货物周转速度，扩大品牌农产品销售占比</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年营业收入突破1000万元，净利润达到300万元以上。</w:t>
      </w:r>
    </w:p>
    <w:p w14:paraId="325C4A4E">
      <w:pPr>
        <w:pStyle w:val="2"/>
        <w:pageBreakBefore w:val="0"/>
        <w:numPr>
          <w:ilvl w:val="0"/>
          <w:numId w:val="0"/>
        </w:numPr>
        <w:wordWrap/>
        <w:overflowPunct/>
        <w:topLinePunct w:val="0"/>
        <w:bidi w:val="0"/>
        <w:spacing w:line="600" w:lineRule="exact"/>
        <w:ind w:firstLine="640" w:firstLineChars="200"/>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六、工作推进计划与时间节点</w:t>
      </w:r>
    </w:p>
    <w:p w14:paraId="4DE184A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2026年7月-11月：开展全面建设推进工作，开展项目建设进度核验，按进展情况支付进度款。</w:t>
      </w:r>
    </w:p>
    <w:p w14:paraId="2D16D93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2026年10月-12月：完成整体项目竣工验收、工程结算、审计、档案整理。</w:t>
      </w:r>
    </w:p>
    <w:p w14:paraId="6D814695">
      <w:pPr>
        <w:pStyle w:val="2"/>
        <w:pageBreakBefore w:val="0"/>
        <w:numPr>
          <w:ilvl w:val="0"/>
          <w:numId w:val="0"/>
        </w:numPr>
        <w:wordWrap/>
        <w:overflowPunct/>
        <w:topLinePunct w:val="0"/>
        <w:bidi w:val="0"/>
        <w:spacing w:line="600" w:lineRule="exact"/>
        <w:ind w:firstLine="640" w:firstLineChars="200"/>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七、投资概算与资金使用</w:t>
      </w:r>
    </w:p>
    <w:p w14:paraId="08EBAFF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第一批项目概算总投资3530.026万元，采取实施奖补鼓励、主体自筹、贷款贴息扩大信贷融资。</w:t>
      </w:r>
      <w:r>
        <w:rPr>
          <w:rFonts w:hint="eastAsia" w:ascii="方正仿宋_GBK" w:hAnsi="方正仿宋_GBK" w:eastAsia="方正仿宋_GBK" w:cs="方正仿宋_GBK"/>
          <w:sz w:val="32"/>
          <w:szCs w:val="32"/>
          <w:highlight w:val="none"/>
          <w:lang w:val="en-US" w:eastAsia="zh-CN"/>
        </w:rPr>
        <w:t>按照《山西省农业农村厅 山西省财政厅关于做好特优农业提质增效项目竞争性遴选工作的通知（晋农函〔2026〕）66号》要求，一是支持新建改造日光温室、覆被式大棚、塑料大棚、等蔬菜生产设施，省级补助资金支持比例不超过总投资的 1/3。二是支持产地分级清洗、包装、预冷、净菜加工、冷链物流体系建设等，发展功能化蔬菜制品等农食产品，支持蔬菜产品融入全国供应链，对市场主体投资超过 100 万元的，按照生产性固定资产投资额的30%给予补助；</w:t>
      </w:r>
      <w:r>
        <w:rPr>
          <w:rFonts w:hint="eastAsia" w:ascii="方正仿宋_GBK" w:hAnsi="方正仿宋_GBK" w:eastAsia="方正仿宋_GBK" w:cs="方正仿宋_GBK"/>
          <w:sz w:val="32"/>
          <w:szCs w:val="32"/>
          <w:lang w:val="en-US" w:eastAsia="zh-CN"/>
        </w:rPr>
        <w:t>对市场主体融入国内大型食品加工、餐饮、大宗农产品贸易供应链，当年货值新增超过1000万元的，按照新增货值的3%予以奖补，每户企业的奖补额不超过100万元。</w:t>
      </w:r>
      <w:r>
        <w:rPr>
          <w:rFonts w:hint="eastAsia" w:ascii="方正仿宋_GBK" w:hAnsi="方正仿宋_GBK" w:eastAsia="方正仿宋_GBK" w:cs="方正仿宋_GBK"/>
          <w:sz w:val="32"/>
          <w:szCs w:val="32"/>
          <w:highlight w:val="none"/>
          <w:lang w:val="en-US" w:eastAsia="zh-CN"/>
        </w:rPr>
        <w:t>三是对产业相关新认证绿色食品、有机农产品，或新认定全国名特优新农产品、地理标志产品的，分别给予2万元的一次性奖励。对经营主体在国内主流媒体、一线或省会城市公共场景、大型电商平台进行广告投放的，给予 1/3 的补贴，最多不超过 100 万元。</w:t>
      </w:r>
    </w:p>
    <w:p w14:paraId="5760E7F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为确保障项目有效推进，保按质按量完成目标任务，目前先行实施第一批成熟的项目。同时，按照项目要求积极征集适合条件有意愿的实施主体，加强项目申报辅导，力争按标准完成省里下达的任务。我们将按照项目进展，对各实施主体实际建设项目完成情况进行审核验收，力争在2026年12月底前完成所有项目任务。</w:t>
      </w:r>
    </w:p>
    <w:p w14:paraId="5D43C06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b w:val="0"/>
          <w:color w:val="auto"/>
          <w:kern w:val="2"/>
          <w:sz w:val="32"/>
          <w:szCs w:val="32"/>
          <w:lang w:val="en-US" w:eastAsia="zh-CN" w:bidi="ar-SA"/>
        </w:rPr>
      </w:pPr>
      <w:r>
        <w:rPr>
          <w:rFonts w:hint="eastAsia" w:ascii="方正黑体_GBK" w:hAnsi="方正黑体_GBK" w:eastAsia="方正黑体_GBK" w:cs="方正黑体_GBK"/>
          <w:b w:val="0"/>
          <w:color w:val="auto"/>
          <w:kern w:val="2"/>
          <w:sz w:val="32"/>
          <w:szCs w:val="32"/>
          <w:lang w:val="en-US" w:eastAsia="zh-CN" w:bidi="ar-SA"/>
        </w:rPr>
        <w:t>八、项目验收</w:t>
      </w:r>
    </w:p>
    <w:p w14:paraId="7A7904A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仿宋" w:hAnsi="仿宋" w:eastAsia="仿宋" w:cs="仿宋"/>
          <w:sz w:val="32"/>
          <w:szCs w:val="32"/>
          <w:lang w:eastAsia="zh-CN"/>
        </w:rPr>
        <w:t>项目由区政府委托管理单位区农业农村局组织验收。验收技术人员包括农业农村、财政、自然资源等相关部门人员，通过现场核实工程量，组织专业人员查阅设计、施工、工程决算、造价审核等资料，对各个主体实施项目进行全面验收。</w:t>
      </w:r>
    </w:p>
    <w:p w14:paraId="2420F500">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eastAsia="zh-CN"/>
        </w:rPr>
        <w:t>九、</w:t>
      </w:r>
      <w:r>
        <w:rPr>
          <w:rFonts w:hint="eastAsia" w:ascii="方正黑体_GBK" w:hAnsi="方正黑体_GBK" w:eastAsia="方正黑体_GBK" w:cs="方正黑体_GBK"/>
          <w:b w:val="0"/>
          <w:bCs/>
          <w:sz w:val="32"/>
          <w:szCs w:val="32"/>
        </w:rPr>
        <w:t>绩效分析</w:t>
      </w:r>
    </w:p>
    <w:p w14:paraId="2A6B7953">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楷体_GB2312" w:hAnsi="方正楷体_GB2312" w:eastAsia="方正楷体_GB2312" w:cs="方正楷体_GB2312"/>
          <w:b/>
          <w:bCs/>
          <w:sz w:val="32"/>
          <w:szCs w:val="32"/>
          <w:lang w:eastAsia="zh-CN"/>
        </w:rPr>
        <w:t>（一）</w:t>
      </w:r>
      <w:r>
        <w:rPr>
          <w:rFonts w:hint="eastAsia" w:ascii="方正楷体_GB2312" w:hAnsi="方正楷体_GB2312" w:eastAsia="方正楷体_GB2312" w:cs="方正楷体_GB2312"/>
          <w:b/>
          <w:bCs/>
          <w:sz w:val="32"/>
          <w:szCs w:val="32"/>
        </w:rPr>
        <w:t>经济效益</w:t>
      </w:r>
      <w:r>
        <w:rPr>
          <w:rFonts w:hint="eastAsia" w:ascii="方正楷体_GB2312" w:hAnsi="方正楷体_GB2312" w:eastAsia="方正楷体_GB2312" w:cs="方正楷体_GB2312"/>
          <w:b/>
          <w:bCs/>
          <w:sz w:val="32"/>
          <w:szCs w:val="32"/>
          <w:lang w:eastAsia="zh-CN"/>
        </w:rPr>
        <w:t>。</w:t>
      </w:r>
      <w:r>
        <w:rPr>
          <w:rFonts w:hint="eastAsia" w:ascii="方正仿宋_GBK" w:hAnsi="方正仿宋_GBK" w:eastAsia="方正仿宋_GBK" w:cs="方正仿宋_GBK"/>
          <w:sz w:val="32"/>
          <w:szCs w:val="32"/>
          <w:lang w:val="en-US" w:eastAsia="zh-CN"/>
        </w:rPr>
        <w:t>通过项目实施，新建维修设施蔬菜</w:t>
      </w:r>
      <w:r>
        <w:rPr>
          <w:rFonts w:hint="eastAsia" w:ascii="方正仿宋_GBK" w:hAnsi="方正仿宋_GBK" w:eastAsia="方正仿宋_GBK" w:cs="方正仿宋_GBK"/>
          <w:snapToGrid/>
          <w:color w:val="auto"/>
          <w:kern w:val="2"/>
          <w:sz w:val="32"/>
          <w:szCs w:val="32"/>
          <w:lang w:val="en-US" w:eastAsia="zh-CN" w:bidi="ar-SA"/>
        </w:rPr>
        <w:t>500</w:t>
      </w:r>
      <w:r>
        <w:rPr>
          <w:rFonts w:hint="eastAsia" w:ascii="方正仿宋_GBK" w:hAnsi="方正仿宋_GBK" w:eastAsia="方正仿宋_GBK" w:cs="方正仿宋_GBK"/>
          <w:sz w:val="32"/>
          <w:szCs w:val="32"/>
          <w:lang w:val="en-US" w:eastAsia="zh-CN"/>
        </w:rPr>
        <w:t>亩以上，可实现年新增蔬菜产量2900吨，参照近三年特优蔬菜价格，平均销售单价按3元/斤计算，年增收1700万元，有效改善我区城郊蔬菜供给状况，壮大彩椒产业，完善加工及冷链设施，延长产业链条，可有效提升产业收益。</w:t>
      </w:r>
    </w:p>
    <w:p w14:paraId="559817EA">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楷体_GB2312" w:hAnsi="方正楷体_GB2312" w:eastAsia="方正楷体_GB2312" w:cs="方正楷体_GB2312"/>
          <w:b/>
          <w:bCs/>
          <w:sz w:val="32"/>
          <w:szCs w:val="32"/>
          <w:lang w:eastAsia="zh-CN"/>
        </w:rPr>
        <w:t>（二）社会效益。</w:t>
      </w:r>
      <w:r>
        <w:rPr>
          <w:rFonts w:hint="eastAsia" w:ascii="方正仿宋_GBK" w:hAnsi="方正仿宋_GBK" w:eastAsia="方正仿宋_GBK" w:cs="方正仿宋_GBK"/>
          <w:b w:val="0"/>
          <w:bCs/>
          <w:sz w:val="32"/>
          <w:szCs w:val="32"/>
          <w:lang w:val="en-US" w:eastAsia="zh-CN"/>
        </w:rPr>
        <w:t>通过项目实施，主要是可以撬动社会资本参与设施蔬菜发展，可撬动社会资本4000多万元，集成育苗示范、生产体系建设、加工及流通体系建设，辐射带动周边农民进行设施蔬菜种植，实现农民增收致富，预计可带动周边1000多户农民就业。</w:t>
      </w:r>
    </w:p>
    <w:p w14:paraId="1F1DF9A1">
      <w:pPr>
        <w:pStyle w:val="3"/>
        <w:keepNext/>
        <w:keepLines/>
        <w:pageBreakBefore w:val="0"/>
        <w:widowControl w:val="0"/>
        <w:kinsoku/>
        <w:wordWrap/>
        <w:overflowPunct/>
        <w:topLinePunct w:val="0"/>
        <w:autoSpaceDE/>
        <w:autoSpaceDN/>
        <w:bidi w:val="0"/>
        <w:adjustRightInd/>
        <w:snapToGrid w:val="0"/>
        <w:spacing w:before="0" w:beforeLines="0" w:after="0" w:afterLines="0" w:line="600" w:lineRule="exact"/>
        <w:ind w:firstLine="643"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楷体_GB2312" w:hAnsi="方正楷体_GB2312" w:eastAsia="方正楷体_GB2312" w:cs="方正楷体_GB2312"/>
          <w:sz w:val="32"/>
          <w:szCs w:val="32"/>
          <w:lang w:eastAsia="zh-CN"/>
        </w:rPr>
        <w:t>（三）生态效益。</w:t>
      </w:r>
      <w:r>
        <w:rPr>
          <w:rFonts w:hint="eastAsia" w:ascii="方正仿宋_GBK" w:hAnsi="方正仿宋_GBK" w:eastAsia="方正仿宋_GBK" w:cs="方正仿宋_GBK"/>
          <w:b w:val="0"/>
          <w:bCs/>
          <w:sz w:val="32"/>
          <w:szCs w:val="32"/>
          <w:lang w:val="en-US" w:eastAsia="zh-CN"/>
        </w:rPr>
        <w:t>通过本项目的实施，集约利用土地及水资源，可以大幅改善优质蔬菜种植环境，节约不可再生能源，能为市场提供优质安全食品，生态效益明显。</w:t>
      </w:r>
    </w:p>
    <w:p w14:paraId="6A663F59">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保障措施</w:t>
      </w:r>
    </w:p>
    <w:p w14:paraId="33D99265">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一是加强领导组织领导。成立以分管副区长为组长，区农业农村局和区财政局主要负责人为副组长的项目建设专班，专班下设办公室，办公室设在区现代农业发展服务中心，具体协调项目建设的整个过程，确保高质量完成任务。</w:t>
      </w:r>
    </w:p>
    <w:p w14:paraId="1D694E1A">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二是加强技术培训学习。从建设实际需要出发，通过多渠道、多形式的观摩培训，提高生产者的生产技术水平和经营管理能力。年内计划培训农民1000人次，并聘请省、市、区知名专家、技术人员全程指导。</w:t>
      </w:r>
    </w:p>
    <w:p w14:paraId="1F9A934E">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kern w:val="2"/>
          <w:sz w:val="32"/>
          <w:szCs w:val="32"/>
          <w:lang w:val="en-US" w:eastAsia="zh-CN" w:bidi="ar-SA"/>
        </w:rPr>
        <w:t>三是加大项目技术指导。</w:t>
      </w:r>
      <w:r>
        <w:rPr>
          <w:rFonts w:hint="eastAsia" w:ascii="方正仿宋_GBK" w:hAnsi="方正仿宋_GBK" w:eastAsia="方正仿宋_GBK" w:cs="方正仿宋_GBK"/>
          <w:sz w:val="32"/>
          <w:szCs w:val="32"/>
          <w:lang w:val="en-US" w:eastAsia="zh-CN"/>
        </w:rPr>
        <w:t>组织专门力量，定期、不定期对任务建设情况进行督查，年底对建设情况进行验收，对完成任务情况进行综合考核。</w:t>
      </w:r>
    </w:p>
    <w:p w14:paraId="6EC154F3">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宋体" w:hAnsi="宋体" w:eastAsia="宋体"/>
          <w:b/>
          <w:bCs/>
          <w:sz w:val="28"/>
          <w:szCs w:val="28"/>
        </w:rPr>
      </w:pPr>
      <w:r>
        <w:rPr>
          <w:rFonts w:hint="eastAsia" w:ascii="方正仿宋_GBK" w:hAnsi="方正仿宋_GBK" w:eastAsia="方正仿宋_GBK" w:cs="方正仿宋_GBK"/>
          <w:b w:val="0"/>
          <w:kern w:val="2"/>
          <w:sz w:val="32"/>
          <w:szCs w:val="32"/>
          <w:lang w:val="en-US" w:eastAsia="zh-CN" w:bidi="ar-SA"/>
        </w:rPr>
        <w:t>四是加强项目实施管理。严格按照实施方案组织项目实施，建立项目内控管理制度，规范项目设施，严格项目质量和资金管理，严格全过程绩效管理。</w:t>
      </w:r>
      <w:bookmarkEnd w:id="1"/>
    </w:p>
    <w:sectPr>
      <w:footerReference r:id="rId3" w:type="default"/>
      <w:pgSz w:w="11906" w:h="16838"/>
      <w:pgMar w:top="1418" w:right="1418" w:bottom="1418"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F6455">
    <w:pPr>
      <w:pStyle w:val="11"/>
      <w:spacing w:line="228" w:lineRule="auto"/>
      <w:ind w:left="6739"/>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FC994">
                          <w:pPr>
                            <w:pStyle w:val="12"/>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0FC994">
                    <w:pPr>
                      <w:pStyle w:val="12"/>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E1F40"/>
    <w:multiLevelType w:val="singleLevel"/>
    <w:tmpl w:val="8BBE1F40"/>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1F"/>
    <w:rsid w:val="000243A8"/>
    <w:rsid w:val="001B1479"/>
    <w:rsid w:val="00357931"/>
    <w:rsid w:val="00402E1B"/>
    <w:rsid w:val="00451978"/>
    <w:rsid w:val="00683BAE"/>
    <w:rsid w:val="006B43C9"/>
    <w:rsid w:val="007F37E4"/>
    <w:rsid w:val="00943EC3"/>
    <w:rsid w:val="00A5078B"/>
    <w:rsid w:val="00AA181F"/>
    <w:rsid w:val="00CD66D7"/>
    <w:rsid w:val="00D62DE6"/>
    <w:rsid w:val="1FDD9EA5"/>
    <w:rsid w:val="1FFB5FF8"/>
    <w:rsid w:val="31A250EE"/>
    <w:rsid w:val="37EF70C0"/>
    <w:rsid w:val="3A9D9B72"/>
    <w:rsid w:val="3CF220EB"/>
    <w:rsid w:val="3DDF5693"/>
    <w:rsid w:val="428B57F1"/>
    <w:rsid w:val="4BDE04E2"/>
    <w:rsid w:val="4DBC1615"/>
    <w:rsid w:val="57FFD320"/>
    <w:rsid w:val="59EA86AA"/>
    <w:rsid w:val="5AB7CD8C"/>
    <w:rsid w:val="5B9FBF48"/>
    <w:rsid w:val="5C77B00C"/>
    <w:rsid w:val="5DF9369F"/>
    <w:rsid w:val="5FCB09B8"/>
    <w:rsid w:val="6EFF6F1D"/>
    <w:rsid w:val="6FDDECEA"/>
    <w:rsid w:val="777C9C37"/>
    <w:rsid w:val="78BF8CC7"/>
    <w:rsid w:val="7A621248"/>
    <w:rsid w:val="7A9F896C"/>
    <w:rsid w:val="7BDAB730"/>
    <w:rsid w:val="7BDBA5EB"/>
    <w:rsid w:val="7BDBC6F1"/>
    <w:rsid w:val="7BFF619E"/>
    <w:rsid w:val="7DBBB8C7"/>
    <w:rsid w:val="7DBD4FF6"/>
    <w:rsid w:val="7FBF096F"/>
    <w:rsid w:val="7FD30BB4"/>
    <w:rsid w:val="7FDBAF42"/>
    <w:rsid w:val="7FDF014B"/>
    <w:rsid w:val="7FE315F2"/>
    <w:rsid w:val="7FFBAF97"/>
    <w:rsid w:val="7FFFD9C4"/>
    <w:rsid w:val="80A71FF3"/>
    <w:rsid w:val="9ED9DB5F"/>
    <w:rsid w:val="AFFDF183"/>
    <w:rsid w:val="B1F7A353"/>
    <w:rsid w:val="B7E747C3"/>
    <w:rsid w:val="B9D5BF61"/>
    <w:rsid w:val="B9FBF048"/>
    <w:rsid w:val="BB0B7D2C"/>
    <w:rsid w:val="BBF678A4"/>
    <w:rsid w:val="BDFEB558"/>
    <w:rsid w:val="BED573F2"/>
    <w:rsid w:val="BFF7D741"/>
    <w:rsid w:val="C4FF9FFA"/>
    <w:rsid w:val="C9EA2DAD"/>
    <w:rsid w:val="CFC35EEA"/>
    <w:rsid w:val="D0D71D31"/>
    <w:rsid w:val="D2FEA32F"/>
    <w:rsid w:val="D4FF3B5E"/>
    <w:rsid w:val="D5BF67DE"/>
    <w:rsid w:val="D5ED58E3"/>
    <w:rsid w:val="D7FDEC6D"/>
    <w:rsid w:val="D8DF4B78"/>
    <w:rsid w:val="D94F0E80"/>
    <w:rsid w:val="DB3E6049"/>
    <w:rsid w:val="DEBBEBC0"/>
    <w:rsid w:val="DF370FE8"/>
    <w:rsid w:val="DF4F65E9"/>
    <w:rsid w:val="DF6FCF75"/>
    <w:rsid w:val="DF7A9C85"/>
    <w:rsid w:val="DF7D950F"/>
    <w:rsid w:val="DFFFAB89"/>
    <w:rsid w:val="E17C44C4"/>
    <w:rsid w:val="E3B7FF46"/>
    <w:rsid w:val="E5762DD0"/>
    <w:rsid w:val="E6B63D94"/>
    <w:rsid w:val="E7C34C91"/>
    <w:rsid w:val="E7FF09A3"/>
    <w:rsid w:val="EBFB37A8"/>
    <w:rsid w:val="EBFE927A"/>
    <w:rsid w:val="EEDE48D8"/>
    <w:rsid w:val="EEF9F3AD"/>
    <w:rsid w:val="EF0B7E4B"/>
    <w:rsid w:val="EFDB75B1"/>
    <w:rsid w:val="EFFF0C0E"/>
    <w:rsid w:val="F6EBA05B"/>
    <w:rsid w:val="F7778D10"/>
    <w:rsid w:val="F7BFC204"/>
    <w:rsid w:val="F7FEC001"/>
    <w:rsid w:val="F9DD259C"/>
    <w:rsid w:val="F9EF7C5A"/>
    <w:rsid w:val="FADEDD1B"/>
    <w:rsid w:val="FB7FBB6C"/>
    <w:rsid w:val="FBDF9489"/>
    <w:rsid w:val="FCC69644"/>
    <w:rsid w:val="FDDE1777"/>
    <w:rsid w:val="FDF775C9"/>
    <w:rsid w:val="FDFB3A9C"/>
    <w:rsid w:val="FECBC34D"/>
    <w:rsid w:val="FEFCEB81"/>
    <w:rsid w:val="FEFF4E9D"/>
    <w:rsid w:val="FF5F05A8"/>
    <w:rsid w:val="FFBFFFB8"/>
    <w:rsid w:val="FFDAF89E"/>
    <w:rsid w:val="FFEE1ED5"/>
    <w:rsid w:val="FFFB2BCC"/>
    <w:rsid w:val="FFFB3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napToGrid w:val="0"/>
      <w:spacing w:before="10" w:beforeLines="10" w:after="10" w:afterLines="10" w:line="420" w:lineRule="auto"/>
      <w:outlineLvl w:val="0"/>
    </w:pPr>
    <w:rPr>
      <w:rFonts w:eastAsia="宋体" w:asciiTheme="majorHAnsi" w:hAnsiTheme="majorHAnsi" w:cstheme="majorBidi"/>
      <w:b/>
      <w:color w:val="000000" w:themeColor="text1"/>
      <w:sz w:val="28"/>
      <w:szCs w:val="48"/>
      <w14:textFill>
        <w14:solidFill>
          <w14:schemeClr w14:val="tx1"/>
        </w14:solidFill>
      </w14:textFill>
    </w:rPr>
  </w:style>
  <w:style w:type="paragraph" w:styleId="3">
    <w:name w:val="heading 2"/>
    <w:basedOn w:val="1"/>
    <w:next w:val="1"/>
    <w:link w:val="21"/>
    <w:unhideWhenUsed/>
    <w:qFormat/>
    <w:uiPriority w:val="9"/>
    <w:pPr>
      <w:keepNext/>
      <w:keepLines/>
      <w:snapToGrid w:val="0"/>
      <w:spacing w:before="50" w:beforeLines="50" w:after="50" w:afterLines="50"/>
      <w:ind w:firstLine="200" w:firstLineChars="200"/>
      <w:outlineLvl w:val="1"/>
    </w:pPr>
    <w:rPr>
      <w:rFonts w:eastAsia="宋体" w:asciiTheme="majorHAnsi" w:hAnsiTheme="majorHAnsi" w:cstheme="majorBidi"/>
      <w:b/>
      <w:sz w:val="28"/>
      <w:szCs w:val="40"/>
    </w:rPr>
  </w:style>
  <w:style w:type="paragraph" w:styleId="4">
    <w:name w:val="heading 3"/>
    <w:basedOn w:val="1"/>
    <w:next w:val="1"/>
    <w:link w:val="22"/>
    <w:unhideWhenUsed/>
    <w:qFormat/>
    <w:uiPriority w:val="9"/>
    <w:pPr>
      <w:keepNext/>
      <w:keepLines/>
      <w:adjustRightInd w:val="0"/>
      <w:snapToGrid w:val="0"/>
      <w:spacing w:before="50" w:beforeLines="50" w:line="420" w:lineRule="auto"/>
      <w:ind w:firstLine="1044" w:firstLineChars="200"/>
      <w:outlineLvl w:val="2"/>
    </w:pPr>
    <w:rPr>
      <w:rFonts w:ascii="宋体" w:hAnsi="宋体" w:eastAsia="宋体" w:cs="宋体"/>
      <w:b/>
      <w:color w:val="auto"/>
      <w:sz w:val="28"/>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0"/>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5"/>
      <w:szCs w:val="35"/>
      <w:lang w:eastAsia="en-US"/>
    </w:r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0"/>
    <w:rPr>
      <w:b/>
    </w:rPr>
  </w:style>
  <w:style w:type="paragraph" w:customStyle="1" w:styleId="19">
    <w:name w:val="toc 1_b958cacf-7e5f-454f-8c5b-6e15b77831f9"/>
    <w:next w:val="1"/>
    <w:qFormat/>
    <w:uiPriority w:val="0"/>
    <w:pPr>
      <w:wordWrap w:val="0"/>
      <w:jc w:val="both"/>
    </w:pPr>
    <w:rPr>
      <w:rFonts w:ascii="Calibri" w:hAnsi="Calibri" w:eastAsia="宋体" w:cs="Times New Roman"/>
      <w:sz w:val="21"/>
      <w:szCs w:val="22"/>
      <w:lang w:val="en-US" w:eastAsia="zh-CN" w:bidi="ar-SA"/>
    </w:rPr>
  </w:style>
  <w:style w:type="character" w:customStyle="1" w:styleId="20">
    <w:name w:val="标题 1 字符"/>
    <w:basedOn w:val="17"/>
    <w:link w:val="2"/>
    <w:qFormat/>
    <w:uiPriority w:val="9"/>
    <w:rPr>
      <w:rFonts w:eastAsia="宋体" w:asciiTheme="majorHAnsi" w:hAnsiTheme="majorHAnsi" w:cstheme="majorBidi"/>
      <w:b/>
      <w:color w:val="000000" w:themeColor="text1"/>
      <w:sz w:val="28"/>
      <w:szCs w:val="48"/>
      <w14:textFill>
        <w14:solidFill>
          <w14:schemeClr w14:val="tx1"/>
        </w14:solidFill>
      </w14:textFill>
    </w:rPr>
  </w:style>
  <w:style w:type="character" w:customStyle="1" w:styleId="21">
    <w:name w:val="标题 2 字符"/>
    <w:basedOn w:val="17"/>
    <w:link w:val="3"/>
    <w:qFormat/>
    <w:uiPriority w:val="9"/>
    <w:rPr>
      <w:rFonts w:eastAsia="宋体" w:asciiTheme="majorHAnsi" w:hAnsiTheme="majorHAnsi" w:cstheme="majorBidi"/>
      <w:b/>
      <w:sz w:val="28"/>
      <w:szCs w:val="40"/>
    </w:rPr>
  </w:style>
  <w:style w:type="character" w:customStyle="1" w:styleId="22">
    <w:name w:val="标题 3 字符"/>
    <w:link w:val="4"/>
    <w:semiHidden/>
    <w:qFormat/>
    <w:uiPriority w:val="9"/>
    <w:rPr>
      <w:rFonts w:ascii="宋体" w:hAnsi="宋体" w:eastAsia="宋体" w:cs="宋体"/>
      <w:b/>
      <w:color w:val="auto"/>
      <w:kern w:val="2"/>
      <w:sz w:val="28"/>
      <w:szCs w:val="32"/>
      <w:lang w:val="en-US" w:eastAsia="zh-CN" w:bidi="ar-SA"/>
    </w:rPr>
  </w:style>
  <w:style w:type="character" w:customStyle="1" w:styleId="23">
    <w:name w:val="标题 4 字符"/>
    <w:basedOn w:val="17"/>
    <w:link w:val="5"/>
    <w:semiHidden/>
    <w:qFormat/>
    <w:uiPriority w:val="9"/>
    <w:rPr>
      <w:rFonts w:cstheme="majorBidi"/>
      <w:color w:val="104862" w:themeColor="accent1" w:themeShade="BF"/>
      <w:sz w:val="28"/>
      <w:szCs w:val="28"/>
    </w:rPr>
  </w:style>
  <w:style w:type="character" w:customStyle="1" w:styleId="24">
    <w:name w:val="标题 5 字符"/>
    <w:basedOn w:val="17"/>
    <w:link w:val="6"/>
    <w:semiHidden/>
    <w:qFormat/>
    <w:uiPriority w:val="9"/>
    <w:rPr>
      <w:rFonts w:cstheme="majorBidi"/>
      <w:color w:val="104862" w:themeColor="accent1" w:themeShade="BF"/>
      <w:sz w:val="24"/>
      <w:szCs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7"/>
    <w:link w:val="35"/>
    <w:qFormat/>
    <w:uiPriority w:val="30"/>
    <w:rPr>
      <w:i/>
      <w:iCs/>
      <w:color w:val="104862" w:themeColor="accent1" w:themeShade="BF"/>
    </w:rPr>
  </w:style>
  <w:style w:type="character" w:customStyle="1" w:styleId="37">
    <w:name w:val="Intense Reference"/>
    <w:basedOn w:val="17"/>
    <w:qFormat/>
    <w:uiPriority w:val="32"/>
    <w:rPr>
      <w:b/>
      <w:bCs/>
      <w:smallCaps/>
      <w:color w:val="104862" w:themeColor="accent1" w:themeShade="BF"/>
      <w:spacing w:val="5"/>
    </w:rPr>
  </w:style>
  <w:style w:type="character" w:customStyle="1" w:styleId="38">
    <w:name w:val="页眉 字符"/>
    <w:basedOn w:val="17"/>
    <w:link w:val="13"/>
    <w:qFormat/>
    <w:uiPriority w:val="99"/>
    <w:rPr>
      <w:sz w:val="18"/>
      <w:szCs w:val="18"/>
    </w:rPr>
  </w:style>
  <w:style w:type="character" w:customStyle="1" w:styleId="39">
    <w:name w:val="页脚 字符"/>
    <w:basedOn w:val="17"/>
    <w:link w:val="12"/>
    <w:qFormat/>
    <w:uiPriority w:val="99"/>
    <w:rPr>
      <w:sz w:val="18"/>
      <w:szCs w:val="18"/>
    </w:rPr>
  </w:style>
  <w:style w:type="character" w:customStyle="1" w:styleId="40">
    <w:name w:val="正文文本 字符"/>
    <w:basedOn w:val="17"/>
    <w:link w:val="11"/>
    <w:semiHidden/>
    <w:qFormat/>
    <w:uiPriority w:val="0"/>
    <w:rPr>
      <w:rFonts w:ascii="仿宋" w:hAnsi="仿宋" w:eastAsia="仿宋" w:cs="仿宋"/>
      <w:snapToGrid w:val="0"/>
      <w:color w:val="000000"/>
      <w:kern w:val="0"/>
      <w:sz w:val="35"/>
      <w:szCs w:val="35"/>
      <w:lang w:eastAsia="en-US"/>
    </w:rPr>
  </w:style>
  <w:style w:type="table" w:customStyle="1" w:styleId="41">
    <w:name w:val="Table Normal"/>
    <w:unhideWhenUsed/>
    <w:qFormat/>
    <w:uiPriority w:val="0"/>
    <w:rPr>
      <w:rFonts w:ascii="Calibri" w:hAnsi="Calibri" w:eastAsia="宋体" w:cs="Times New Roman"/>
      <w:kern w:val="0"/>
      <w:sz w:val="20"/>
      <w:szCs w:val="20"/>
    </w:rPr>
    <w:tblPr>
      <w:tblCellMar>
        <w:top w:w="0" w:type="dxa"/>
        <w:left w:w="0" w:type="dxa"/>
        <w:bottom w:w="0" w:type="dxa"/>
        <w:right w:w="0" w:type="dxa"/>
      </w:tblCellMar>
    </w:tblPr>
  </w:style>
  <w:style w:type="paragraph" w:customStyle="1" w:styleId="42">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 w:val="24"/>
      <w:szCs w:val="24"/>
      <w:lang w:eastAsia="en-US"/>
    </w:rPr>
  </w:style>
  <w:style w:type="paragraph" w:customStyle="1" w:styleId="43">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816</Words>
  <Characters>841</Characters>
  <Lines>119</Lines>
  <Paragraphs>33</Paragraphs>
  <TotalTime>74</TotalTime>
  <ScaleCrop>false</ScaleCrop>
  <LinksUpToDate>false</LinksUpToDate>
  <CharactersWithSpaces>856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2026-05-22T10:42:00Z</dcterms:created>
  <dc:creator>lenovo</dc:creator>
  <cp:lastModifiedBy>潇洒</cp:lastModifiedBy>
  <cp:lastPrinted>2026-07-14T11:43:00Z</cp:lastPrinted>
  <dcterms:modified xsi:type="dcterms:W3CDTF">2026-07-17T19:46:36Z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eyJoZGlkIjoiZTFhNTI0MjQzYzI5NjdmYTkzYjMwMDgyZDJjMGY5ZDIiLCJ1c2VySWQiOiIzOTYxNDc1NDYifQ==</vt:lpwstr>
  </property>
  <property fmtid="{D5CDD505-2E9C-101B-9397-08002B2CF9AE}" pid="3" name="KSOProductBuildVer">
    <vt:lpwstr>2052-12.1.2.24730</vt:lpwstr>
  </property>
  <property fmtid="{D5CDD505-2E9C-101B-9397-08002B2CF9AE}" pid="4" name="ICV">
    <vt:lpwstr>DA863F83FBB344F7B8C36F6E95CF6A7E_12</vt:lpwstr>
  </property>
</Properties>
</file>