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hanging="0"/>
        <w:jc w:val="center"/>
        <w:rPr>
          <w:rFonts w:ascii="方正小标宋_GBK" w:hAnsi="方正小标宋_GBK" w:eastAsia="方正小标宋_GBK"/>
          <w:kern w:val="2"/>
          <w:sz w:val="44"/>
          <w:szCs w:val="44"/>
        </w:rPr>
      </w:pPr>
      <w:r>
        <w:rPr>
          <w:rFonts w:ascii="方正小标宋_GBK" w:hAnsi="方正小标宋_GBK" w:eastAsia="方正小标宋_GBK"/>
          <w:kern w:val="2"/>
          <w:sz w:val="44"/>
          <w:szCs w:val="44"/>
        </w:rPr>
        <w:t>朔城区</w:t>
      </w:r>
      <w:r>
        <w:rPr>
          <w:rFonts w:ascii="方正小标宋_GBK" w:hAnsi="方正小标宋_GBK" w:eastAsia="方正小标宋_GBK"/>
          <w:kern w:val="2"/>
          <w:sz w:val="44"/>
          <w:szCs w:val="44"/>
        </w:rPr>
        <w:t>林业局“双随机一公开”事项清单</w:t>
      </w:r>
    </w:p>
    <w:p>
      <w:pPr>
        <w:pStyle w:val="1"/>
        <w:ind w:hanging="0"/>
        <w:jc w:val="center"/>
        <w:rPr>
          <w:rFonts w:ascii="方正小标宋_GBK" w:hAnsi="方正小标宋_GBK" w:eastAsia="方正小标宋_GBK"/>
          <w:kern w:val="2"/>
          <w:sz w:val="44"/>
          <w:szCs w:val="44"/>
        </w:rPr>
      </w:pPr>
      <w:r>
        <w:rPr>
          <w:rFonts w:eastAsia="方正小标宋_GBK" w:ascii="方正小标宋_GBK" w:hAnsi="方正小标宋_GBK"/>
          <w:kern w:val="2"/>
          <w:sz w:val="44"/>
          <w:szCs w:val="44"/>
        </w:rPr>
      </w:r>
    </w:p>
    <w:tbl>
      <w:tblPr>
        <w:tblW w:w="13532" w:type="dxa"/>
        <w:jc w:val="center"/>
        <w:tblInd w:w="0" w:type="dxa"/>
        <w:tblLayout w:type="fixed"/>
        <w:tblCellMar>
          <w:top w:w="28" w:type="dxa"/>
          <w:left w:w="57" w:type="dxa"/>
          <w:bottom w:w="28" w:type="dxa"/>
          <w:right w:w="57" w:type="dxa"/>
        </w:tblCellMar>
        <w:tblLook w:val="04a0"/>
      </w:tblPr>
      <w:tblGrid>
        <w:gridCol w:w="728"/>
        <w:gridCol w:w="1530"/>
        <w:gridCol w:w="2505"/>
        <w:gridCol w:w="3720"/>
        <w:gridCol w:w="4261"/>
        <w:gridCol w:w="787"/>
      </w:tblGrid>
      <w:tr>
        <w:trPr>
          <w:tblHeader w:val="true"/>
          <w:trHeight w:val="425"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序号</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实施主体</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抽查事项</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抽查内容</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抽查依据</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snapToGrid w:val="false"/>
              <w:spacing w:lineRule="exact" w:line="360"/>
              <w:jc w:val="center"/>
              <w:rPr>
                <w:rFonts w:ascii="宋体" w:hAnsi="宋体" w:cs="宋体"/>
                <w:b/>
                <w:b/>
                <w:bCs/>
                <w:sz w:val="21"/>
                <w:szCs w:val="21"/>
              </w:rPr>
            </w:pPr>
            <w:r>
              <w:rPr>
                <w:rFonts w:ascii="宋体" w:hAnsi="宋体" w:cs="宋体"/>
                <w:b/>
                <w:bCs/>
                <w:sz w:val="21"/>
                <w:szCs w:val="21"/>
              </w:rPr>
              <w:t>备注</w:t>
            </w:r>
          </w:p>
        </w:tc>
      </w:tr>
      <w:tr>
        <w:trPr>
          <w:trHeight w:val="1293"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1</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bidi w:val="0"/>
              <w:spacing w:lineRule="exact" w:line="360"/>
              <w:ind w:hanging="0"/>
              <w:rPr>
                <w:rFonts w:ascii="宋体" w:hAnsi="宋体" w:eastAsia="宋体" w:cs="宋体"/>
                <w:kern w:val="2"/>
                <w:sz w:val="21"/>
                <w:szCs w:val="21"/>
              </w:rPr>
            </w:pPr>
            <w:r>
              <w:rPr>
                <w:rFonts w:ascii="宋体" w:hAnsi="宋体" w:cs="宋体" w:eastAsia="宋体"/>
                <w:kern w:val="2"/>
                <w:sz w:val="21"/>
                <w:szCs w:val="21"/>
              </w:rPr>
              <w:t>朔城</w:t>
            </w:r>
            <w:r>
              <w:rPr>
                <w:rFonts w:ascii="宋体" w:hAnsi="宋体" w:cs="宋体" w:eastAsia="宋体"/>
                <w:kern w:val="2"/>
                <w:sz w:val="21"/>
                <w:szCs w:val="21"/>
              </w:rPr>
              <w:t>区林业局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勘查、开采矿藏和各项建设工程占用或者征收、征用林地执法检查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林地管理；违法违规占用林地。</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中华人民共和国森林法》第</w:t>
            </w:r>
            <w:r>
              <w:rPr>
                <w:rFonts w:ascii="宋体" w:hAnsi="宋体" w:cs="宋体" w:eastAsia="宋体"/>
                <w:kern w:val="2"/>
                <w:sz w:val="21"/>
                <w:szCs w:val="21"/>
              </w:rPr>
              <w:t>三</w:t>
            </w:r>
            <w:r>
              <w:rPr>
                <w:rFonts w:ascii="宋体" w:hAnsi="宋体" w:cs="宋体" w:eastAsia="宋体"/>
                <w:kern w:val="2"/>
                <w:sz w:val="21"/>
                <w:szCs w:val="21"/>
              </w:rPr>
              <w:t>十八条</w:t>
            </w:r>
            <w:r>
              <w:rPr>
                <w:rFonts w:ascii="宋体" w:hAnsi="宋体" w:cs="宋体" w:eastAsia="宋体"/>
                <w:kern w:val="2"/>
                <w:sz w:val="21"/>
                <w:szCs w:val="21"/>
              </w:rPr>
              <w:t>、三十九条</w:t>
            </w:r>
            <w:r>
              <w:rPr>
                <w:rFonts w:ascii="宋体" w:hAnsi="宋体" w:cs="宋体" w:eastAsia="宋体"/>
                <w:kern w:val="2"/>
                <w:sz w:val="21"/>
                <w:szCs w:val="21"/>
              </w:rPr>
              <w:t>；《中华人民共和国森林法实施条例》第十六条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1544"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2</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森林经营单位修筑直接为林业生产服务的工程设施占用林地执法检查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林地管理；违法违规占用林地。</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ascii="宋体" w:hAnsi="宋体" w:cs="宋体" w:eastAsia="宋体"/>
                <w:kern w:val="2"/>
                <w:sz w:val="21"/>
                <w:szCs w:val="21"/>
              </w:rPr>
              <w:t>中华人民共和国森林法》第</w:t>
            </w:r>
            <w:r>
              <w:rPr>
                <w:rFonts w:ascii="宋体" w:hAnsi="宋体" w:cs="宋体" w:eastAsia="宋体"/>
                <w:kern w:val="2"/>
                <w:sz w:val="21"/>
                <w:szCs w:val="21"/>
              </w:rPr>
              <w:t>五</w:t>
            </w:r>
            <w:r>
              <w:rPr>
                <w:rFonts w:ascii="宋体" w:hAnsi="宋体" w:cs="宋体" w:eastAsia="宋体"/>
                <w:kern w:val="2"/>
                <w:sz w:val="21"/>
                <w:szCs w:val="21"/>
              </w:rPr>
              <w:t>十</w:t>
            </w:r>
            <w:r>
              <w:rPr>
                <w:rFonts w:ascii="宋体" w:hAnsi="宋体" w:cs="宋体" w:eastAsia="宋体"/>
                <w:kern w:val="2"/>
                <w:sz w:val="21"/>
                <w:szCs w:val="21"/>
              </w:rPr>
              <w:t>二</w:t>
            </w:r>
            <w:r>
              <w:rPr>
                <w:rFonts w:ascii="宋体" w:hAnsi="宋体" w:cs="宋体" w:eastAsia="宋体"/>
                <w:kern w:val="2"/>
                <w:sz w:val="21"/>
                <w:szCs w:val="21"/>
              </w:rPr>
              <w:t>条；《中华人民共和国森林法实施条例》第十六条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90"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jc w:val="center"/>
              <w:rPr>
                <w:rFonts w:ascii="宋体" w:hAnsi="宋体" w:eastAsia="宋体" w:cs="宋体"/>
                <w:kern w:val="2"/>
                <w:sz w:val="21"/>
                <w:szCs w:val="21"/>
              </w:rPr>
            </w:pPr>
            <w:r>
              <w:rPr>
                <w:rFonts w:eastAsia="宋体" w:cs="宋体" w:ascii="宋体" w:hAnsi="宋体"/>
                <w:kern w:val="2"/>
                <w:sz w:val="21"/>
                <w:szCs w:val="21"/>
              </w:rPr>
              <w:t>3</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w:t>
            </w:r>
            <w:r>
              <w:rPr>
                <w:rFonts w:ascii="宋体" w:hAnsi="宋体" w:cs="宋体" w:eastAsia="宋体"/>
                <w:kern w:val="2"/>
                <w:sz w:val="21"/>
                <w:szCs w:val="21"/>
              </w:rPr>
              <w:t>区林业局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占用林地执法检查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林地管理；违法违规占用林地。</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中华人民共和国森林法》第</w:t>
            </w:r>
            <w:r>
              <w:rPr>
                <w:rFonts w:ascii="宋体" w:hAnsi="宋体" w:cs="宋体" w:eastAsia="宋体"/>
                <w:kern w:val="2"/>
                <w:sz w:val="21"/>
                <w:szCs w:val="21"/>
              </w:rPr>
              <w:t>三</w:t>
            </w:r>
            <w:r>
              <w:rPr>
                <w:rFonts w:ascii="宋体" w:hAnsi="宋体" w:cs="宋体" w:eastAsia="宋体"/>
                <w:kern w:val="2"/>
                <w:sz w:val="21"/>
                <w:szCs w:val="21"/>
              </w:rPr>
              <w:t>十八条</w:t>
            </w:r>
            <w:r>
              <w:rPr>
                <w:rFonts w:ascii="宋体" w:hAnsi="宋体" w:cs="宋体" w:eastAsia="宋体"/>
                <w:kern w:val="2"/>
                <w:sz w:val="21"/>
                <w:szCs w:val="21"/>
              </w:rPr>
              <w:t>、三十九条</w:t>
            </w:r>
            <w:r>
              <w:rPr>
                <w:rFonts w:ascii="宋体" w:hAnsi="宋体" w:cs="宋体" w:eastAsia="宋体"/>
                <w:kern w:val="2"/>
                <w:sz w:val="21"/>
                <w:szCs w:val="21"/>
              </w:rPr>
              <w:t>；《中华人民共和国森林法实施条例》第十六条。</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rPr>
                <w:rFonts w:ascii="宋体" w:hAnsi="宋体" w:eastAsia="宋体" w:cs="宋体"/>
                <w:kern w:val="2"/>
                <w:sz w:val="21"/>
                <w:szCs w:val="21"/>
              </w:rPr>
            </w:pPr>
            <w:r>
              <w:rPr>
                <w:rFonts w:eastAsia="宋体" w:cs="宋体" w:ascii="宋体" w:hAnsi="宋体"/>
                <w:kern w:val="2"/>
                <w:sz w:val="21"/>
                <w:szCs w:val="21"/>
              </w:rPr>
            </w:r>
          </w:p>
        </w:tc>
      </w:tr>
      <w:tr>
        <w:trPr>
          <w:trHeight w:val="425"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jc w:val="center"/>
              <w:rPr>
                <w:rFonts w:ascii="宋体" w:hAnsi="宋体" w:eastAsia="宋体" w:cs="宋体"/>
                <w:kern w:val="2"/>
                <w:sz w:val="21"/>
                <w:szCs w:val="21"/>
              </w:rPr>
            </w:pPr>
            <w:r>
              <w:rPr>
                <w:rFonts w:eastAsia="宋体" w:cs="宋体" w:ascii="宋体" w:hAnsi="宋体"/>
                <w:kern w:val="2"/>
                <w:sz w:val="21"/>
                <w:szCs w:val="21"/>
              </w:rPr>
              <w:t>4</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w:t>
            </w:r>
            <w:r>
              <w:rPr>
                <w:rFonts w:ascii="宋体" w:hAnsi="宋体" w:cs="宋体" w:eastAsia="宋体"/>
                <w:kern w:val="2"/>
                <w:sz w:val="21"/>
                <w:szCs w:val="21"/>
              </w:rPr>
              <w:t>区林业局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林木种子生产经营检查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spacing w:val="-10"/>
                <w:kern w:val="2"/>
                <w:sz w:val="21"/>
                <w:szCs w:val="21"/>
              </w:rPr>
            </w:pPr>
            <w:r>
              <w:rPr>
                <w:rFonts w:eastAsia="宋体" w:cs="宋体" w:ascii="宋体" w:hAnsi="宋体"/>
                <w:kern w:val="2"/>
                <w:sz w:val="21"/>
                <w:szCs w:val="21"/>
              </w:rPr>
              <w:t>1.</w:t>
            </w:r>
            <w:r>
              <w:rPr>
                <w:rFonts w:ascii="宋体" w:hAnsi="宋体" w:cs="宋体" w:eastAsia="宋体"/>
                <w:spacing w:val="-10"/>
                <w:kern w:val="2"/>
                <w:sz w:val="21"/>
                <w:szCs w:val="21"/>
              </w:rPr>
              <w:t>生产经营场所、设备及有关工具等；</w:t>
            </w:r>
          </w:p>
          <w:p>
            <w:pPr>
              <w:pStyle w:val="2"/>
              <w:widowControl w:val="false"/>
              <w:spacing w:lineRule="exact" w:line="300"/>
              <w:ind w:hanging="0"/>
              <w:rPr>
                <w:rFonts w:ascii="宋体" w:hAnsi="宋体" w:eastAsia="宋体" w:cs="宋体"/>
                <w:spacing w:val="-10"/>
                <w:kern w:val="2"/>
                <w:sz w:val="21"/>
                <w:szCs w:val="21"/>
              </w:rPr>
            </w:pPr>
            <w:r>
              <w:rPr>
                <w:rFonts w:eastAsia="宋体" w:cs="宋体" w:ascii="宋体" w:hAnsi="宋体"/>
                <w:spacing w:val="-10"/>
                <w:kern w:val="2"/>
                <w:sz w:val="21"/>
                <w:szCs w:val="21"/>
              </w:rPr>
              <w:t>2.</w:t>
            </w:r>
            <w:r>
              <w:rPr>
                <w:rFonts w:ascii="宋体" w:hAnsi="宋体" w:cs="宋体" w:eastAsia="宋体"/>
                <w:spacing w:val="-10"/>
                <w:kern w:val="2"/>
                <w:sz w:val="21"/>
                <w:szCs w:val="21"/>
              </w:rPr>
              <w:t>对种子进行取样测试、试验或检验；</w:t>
            </w:r>
          </w:p>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t>3.</w:t>
            </w:r>
            <w:r>
              <w:rPr>
                <w:rFonts w:ascii="宋体" w:hAnsi="宋体" w:cs="宋体" w:eastAsia="宋体"/>
                <w:kern w:val="2"/>
                <w:sz w:val="21"/>
                <w:szCs w:val="21"/>
              </w:rPr>
              <w:t>有关合同、票据、账簿、生产经营档案及其他有关资料。</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《中华人民共和国种子法》第四十七、五十条。</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rPr>
                <w:rFonts w:ascii="宋体" w:hAnsi="宋体" w:eastAsia="宋体" w:cs="宋体"/>
                <w:kern w:val="2"/>
                <w:sz w:val="21"/>
                <w:szCs w:val="21"/>
              </w:rPr>
            </w:pPr>
            <w:r>
              <w:rPr>
                <w:rFonts w:eastAsia="宋体" w:cs="宋体" w:ascii="宋体" w:hAnsi="宋体"/>
                <w:kern w:val="2"/>
                <w:sz w:val="21"/>
                <w:szCs w:val="21"/>
              </w:rPr>
            </w:r>
          </w:p>
        </w:tc>
      </w:tr>
      <w:tr>
        <w:trPr>
          <w:trHeight w:val="826"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jc w:val="center"/>
              <w:rPr>
                <w:rFonts w:ascii="宋体" w:hAnsi="宋体" w:eastAsia="宋体" w:cs="宋体"/>
                <w:kern w:val="2"/>
                <w:sz w:val="21"/>
                <w:szCs w:val="21"/>
              </w:rPr>
            </w:pPr>
            <w:r>
              <w:rPr>
                <w:rFonts w:eastAsia="宋体" w:cs="宋体" w:ascii="宋体" w:hAnsi="宋体"/>
                <w:kern w:val="2"/>
                <w:sz w:val="21"/>
                <w:szCs w:val="21"/>
              </w:rPr>
              <w:t>5</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猎捕非国家重点保护陆生野生动物执法检查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是否取得主管部门核发的狩猎证，并且服从猎捕量限额管理。</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《中华人民共和国野生动物保护法》 第二十二条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16"/>
              <w:ind w:hanging="0"/>
              <w:rPr>
                <w:rFonts w:ascii="宋体" w:hAnsi="宋体" w:eastAsia="宋体" w:cs="宋体"/>
                <w:kern w:val="2"/>
                <w:sz w:val="21"/>
                <w:szCs w:val="21"/>
              </w:rPr>
            </w:pPr>
            <w:r>
              <w:rPr>
                <w:rFonts w:eastAsia="宋体" w:cs="宋体" w:ascii="宋体" w:hAnsi="宋体"/>
                <w:kern w:val="2"/>
                <w:sz w:val="21"/>
                <w:szCs w:val="21"/>
              </w:rPr>
            </w:r>
          </w:p>
        </w:tc>
      </w:tr>
      <w:tr>
        <w:trPr>
          <w:trHeight w:val="841"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6</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w:t>
            </w:r>
            <w:r>
              <w:rPr>
                <w:rFonts w:ascii="宋体" w:hAnsi="宋体" w:cs="宋体" w:eastAsia="宋体"/>
                <w:kern w:val="2"/>
                <w:sz w:val="21"/>
                <w:szCs w:val="21"/>
              </w:rPr>
              <w:t>区林业局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从事营利性治沙活动许可执法检查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numPr>
                <w:ilvl w:val="0"/>
                <w:numId w:val="2"/>
              </w:numPr>
              <w:spacing w:lineRule="exact" w:line="300"/>
              <w:ind w:hanging="0"/>
              <w:rPr>
                <w:rFonts w:ascii="宋体" w:hAnsi="宋体" w:eastAsia="宋体" w:cs="宋体"/>
                <w:kern w:val="2"/>
                <w:sz w:val="21"/>
                <w:szCs w:val="21"/>
              </w:rPr>
            </w:pPr>
            <w:r>
              <w:rPr>
                <w:rFonts w:ascii="宋体" w:hAnsi="宋体" w:cs="宋体" w:eastAsia="宋体"/>
                <w:kern w:val="2"/>
                <w:sz w:val="21"/>
                <w:szCs w:val="21"/>
              </w:rPr>
              <w:t>被治理土地权属的合法性</w:t>
            </w:r>
          </w:p>
          <w:p>
            <w:pPr>
              <w:pStyle w:val="2"/>
              <w:widowControl w:val="false"/>
              <w:numPr>
                <w:ilvl w:val="0"/>
                <w:numId w:val="2"/>
              </w:numPr>
              <w:spacing w:lineRule="exact" w:line="300"/>
              <w:ind w:hanging="0"/>
              <w:rPr>
                <w:rFonts w:ascii="宋体" w:hAnsi="宋体" w:eastAsia="宋体" w:cs="宋体"/>
                <w:kern w:val="2"/>
                <w:sz w:val="21"/>
                <w:szCs w:val="21"/>
              </w:rPr>
            </w:pPr>
            <w:r>
              <w:rPr>
                <w:rFonts w:ascii="宋体" w:hAnsi="宋体" w:cs="宋体" w:eastAsia="宋体"/>
                <w:kern w:val="2"/>
                <w:sz w:val="21"/>
                <w:szCs w:val="21"/>
              </w:rPr>
              <w:t>符合防沙治沙规划的治理</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《中华人民共和国防沙治沙法》第二十六条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856"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7</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森林高火险期内进入森林高火险区的活动检查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未取得审批，违规进入高火险林区开展活动。</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《森林防火条例》第二十九条 。</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1426"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8</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林业植物检疫证书核发</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种子、苗木和其他繁殖材料，不论是否列入应施检疫的植物、植物产品名单和运往何地，在调运之前，都必须经过检疫。</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 xml:space="preserve">《植物检疫条例》第七条 </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425"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9</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陆生野生动物保护监督检查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t>1.</w:t>
            </w:r>
            <w:r>
              <w:rPr>
                <w:rFonts w:ascii="宋体" w:hAnsi="宋体" w:cs="宋体" w:eastAsia="宋体"/>
                <w:kern w:val="2"/>
                <w:sz w:val="21"/>
                <w:szCs w:val="21"/>
              </w:rPr>
              <w:t>对科学研究、人工繁育、公众展示展演等利用 陆生野生动物及其制品的活动进行监督管理。</w:t>
            </w:r>
          </w:p>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t>2.</w:t>
            </w:r>
            <w:r>
              <w:rPr>
                <w:rFonts w:ascii="宋体" w:hAnsi="宋体" w:cs="宋体" w:eastAsia="宋体"/>
                <w:kern w:val="2"/>
                <w:sz w:val="21"/>
                <w:szCs w:val="21"/>
              </w:rPr>
              <w:t>对经营利用陆生野生动物或其产品监 督检查。</w:t>
            </w:r>
          </w:p>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《中华人民共和国野生动物保护法》第二十七条、第二十九条、第三十条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811"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t>10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朔城区</w:t>
            </w:r>
            <w:r>
              <w:rPr>
                <w:rFonts w:ascii="宋体" w:hAnsi="宋体" w:cs="宋体" w:eastAsia="宋体"/>
                <w:kern w:val="2"/>
                <w:sz w:val="21"/>
                <w:szCs w:val="21"/>
              </w:rPr>
              <w:t>林业局</w:t>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木材加工企业检查</w:t>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eastAsia="宋体" w:cs="宋体" w:ascii="宋体" w:hAnsi="宋体"/>
                <w:color w:val="000000"/>
                <w:sz w:val="21"/>
                <w:szCs w:val="21"/>
              </w:rPr>
              <w:t>1.</w:t>
            </w:r>
            <w:r>
              <w:rPr>
                <w:rFonts w:ascii="宋体" w:hAnsi="宋体" w:cs="宋体" w:eastAsia="宋体"/>
                <w:color w:val="000000"/>
                <w:sz w:val="21"/>
                <w:szCs w:val="21"/>
              </w:rPr>
              <w:t>经营（加工）场所是否符合相关规定</w:t>
            </w:r>
            <w:r>
              <w:rPr>
                <w:rFonts w:eastAsia="宋体" w:cs="宋体" w:ascii="宋体" w:hAnsi="宋体"/>
                <w:color w:val="000000"/>
                <w:kern w:val="2"/>
                <w:sz w:val="21"/>
                <w:szCs w:val="21"/>
              </w:rPr>
              <w:t>2.</w:t>
            </w:r>
            <w:r>
              <w:rPr>
                <w:rFonts w:ascii="宋体" w:hAnsi="宋体" w:cs="宋体" w:eastAsia="宋体"/>
                <w:color w:val="000000"/>
                <w:kern w:val="2"/>
                <w:sz w:val="21"/>
                <w:szCs w:val="21"/>
              </w:rPr>
              <w:t>木材来源是否合法。</w:t>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ascii="宋体" w:hAnsi="宋体" w:cs="宋体" w:eastAsia="宋体"/>
                <w:kern w:val="2"/>
                <w:sz w:val="21"/>
                <w:szCs w:val="21"/>
              </w:rPr>
              <w:t>《</w:t>
            </w:r>
            <w:r>
              <w:rPr>
                <w:rFonts w:ascii="宋体" w:hAnsi="宋体" w:cs="宋体" w:eastAsia="宋体"/>
                <w:kern w:val="2"/>
                <w:sz w:val="21"/>
                <w:szCs w:val="21"/>
              </w:rPr>
              <w:t>中华人民共和国森林法》第</w:t>
            </w:r>
            <w:r>
              <w:rPr>
                <w:rFonts w:ascii="宋体" w:hAnsi="宋体" w:cs="宋体" w:eastAsia="宋体"/>
                <w:kern w:val="2"/>
                <w:sz w:val="21"/>
                <w:szCs w:val="21"/>
              </w:rPr>
              <w:t>六十五</w:t>
            </w:r>
            <w:r>
              <w:rPr>
                <w:rFonts w:ascii="宋体" w:hAnsi="宋体" w:cs="宋体" w:eastAsia="宋体"/>
                <w:kern w:val="2"/>
                <w:sz w:val="21"/>
                <w:szCs w:val="21"/>
              </w:rPr>
              <w:t>条</w:t>
            </w:r>
            <w:r>
              <w:rPr>
                <w:rFonts w:ascii="宋体" w:hAnsi="宋体" w:cs="宋体" w:eastAsia="宋体"/>
                <w:kern w:val="2"/>
                <w:sz w:val="21"/>
                <w:szCs w:val="21"/>
              </w:rPr>
              <w:t>。</w:t>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p>
        </w:tc>
      </w:tr>
      <w:tr>
        <w:trPr>
          <w:trHeight w:val="926" w:hRule="atLeast"/>
        </w:trPr>
        <w:tc>
          <w:tcPr>
            <w:tcW w:w="728"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jc w:val="center"/>
              <w:rPr>
                <w:rFonts w:ascii="宋体" w:hAnsi="宋体" w:eastAsia="宋体" w:cs="宋体"/>
                <w:kern w:val="2"/>
                <w:sz w:val="21"/>
                <w:szCs w:val="21"/>
              </w:rPr>
            </w:pPr>
            <w:r>
              <w:rPr>
                <w:rFonts w:eastAsia="宋体" w:cs="宋体" w:ascii="宋体" w:hAnsi="宋体"/>
                <w:kern w:val="2"/>
                <w:sz w:val="21"/>
                <w:szCs w:val="21"/>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r>
          </w:p>
        </w:tc>
        <w:tc>
          <w:tcPr>
            <w:tcW w:w="2505"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r>
          </w:p>
        </w:tc>
        <w:tc>
          <w:tcPr>
            <w:tcW w:w="3720"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cs="宋体" w:ascii="宋体" w:hAnsi="宋体"/>
                <w:sz w:val="21"/>
                <w:szCs w:val="21"/>
              </w:rPr>
            </w:r>
          </w:p>
        </w:tc>
        <w:tc>
          <w:tcPr>
            <w:tcW w:w="4261"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00"/>
              <w:ind w:hanging="0"/>
              <w:rPr>
                <w:rFonts w:ascii="宋体" w:hAnsi="宋体" w:eastAsia="宋体" w:cs="宋体"/>
                <w:kern w:val="2"/>
                <w:sz w:val="21"/>
                <w:szCs w:val="21"/>
              </w:rPr>
            </w:pPr>
            <w:r>
              <w:rPr>
                <w:rFonts w:eastAsia="宋体" w:cs="宋体" w:ascii="宋体" w:hAnsi="宋体"/>
                <w:kern w:val="2"/>
                <w:sz w:val="21"/>
                <w:szCs w:val="21"/>
              </w:rPr>
            </w:r>
          </w:p>
        </w:tc>
        <w:tc>
          <w:tcPr>
            <w:tcW w:w="78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exact" w:line="360"/>
              <w:ind w:hanging="0"/>
              <w:rPr>
                <w:rFonts w:ascii="宋体" w:hAnsi="宋体" w:eastAsia="宋体" w:cs="宋体"/>
                <w:kern w:val="2"/>
                <w:sz w:val="21"/>
                <w:szCs w:val="21"/>
              </w:rPr>
            </w:pPr>
            <w:r>
              <w:rPr>
                <w:rFonts w:eastAsia="宋体" w:cs="宋体" w:ascii="宋体" w:hAnsi="宋体"/>
                <w:kern w:val="2"/>
                <w:sz w:val="21"/>
                <w:szCs w:val="21"/>
              </w:rPr>
            </w:r>
            <w:bookmarkStart w:id="0" w:name="_GoBack"/>
            <w:bookmarkStart w:id="1" w:name="_GoBack"/>
            <w:bookmarkEnd w:id="1"/>
          </w:p>
        </w:tc>
      </w:tr>
    </w:tbl>
    <w:p>
      <w:pPr>
        <w:pStyle w:val="Style14"/>
        <w:rPr/>
      </w:pPr>
      <w:r>
        <w:rPr/>
      </w:r>
    </w:p>
    <w:sectPr>
      <w:type w:val="nextPage"/>
      <w:pgSz w:orient="landscape" w:w="16838" w:h="11906"/>
      <w:pgMar w:left="1440" w:right="1440" w:header="0" w:top="1800" w:footer="0" w:bottom="1800" w:gutter="0"/>
      <w:pgNumType w:fmt="decimal"/>
      <w:formProt w:val="false"/>
      <w:textDirection w:val="lrTb"/>
      <w:docGrid w:type="lines" w:linePitch="312" w:charSpace="6144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方正黑体_GBK">
    <w:charset w:val="86"/>
    <w:family w:val="roman"/>
    <w:pitch w:val="variable"/>
  </w:font>
  <w:font w:name="方正楷体_GBK">
    <w:charset w:val="86"/>
    <w:family w:val="roman"/>
    <w:pitch w:val="variable"/>
  </w:font>
  <w:font w:name="方正小标宋_GBK">
    <w:charset w:val="86"/>
    <w:family w:val="roman"/>
    <w:pitch w:val="variable"/>
  </w:font>
  <w:font w:name="宋体">
    <w:charset w:val="86"/>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12"/>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20"/>
  <w:autoHyphenation w:val="true"/>
  <w:compat>
    <w:doNotExpandShiftReturn/>
    <w:balanceSingleByteDoubleByteWidth/>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ar-SA"/>
      </w:rPr>
    </w:rPrDefault>
    <w:pPrDefault>
      <w:pPr>
        <w:suppressAutoHyphens w:val="fals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yle14" w:default="1">
    <w:name w:val="正文"/>
    <w:qFormat/>
    <w:rsid w:val="00133843"/>
    <w:pPr>
      <w:widowControl w:val="false"/>
      <w:bidi w:val="0"/>
      <w:spacing w:before="0" w:after="0"/>
      <w:jc w:val="both"/>
    </w:pPr>
    <w:rPr>
      <w:rFonts w:ascii="Times New Roman" w:hAnsi="Times New Roman" w:eastAsia="宋体" w:cs="Times New Roman"/>
      <w:color w:val="auto"/>
      <w:kern w:val="2"/>
      <w:sz w:val="30"/>
      <w:szCs w:val="30"/>
      <w:lang w:val="en-US" w:eastAsia="zh-CN" w:bidi="ar-SA"/>
    </w:rPr>
  </w:style>
  <w:style w:type="paragraph" w:styleId="1" w:customStyle="1">
    <w:name w:val="样式1"/>
    <w:basedOn w:val="Style14"/>
    <w:qFormat/>
    <w:rsid w:val="00133843"/>
    <w:pPr>
      <w:snapToGrid w:val="false"/>
      <w:spacing w:lineRule="exact" w:line="590"/>
      <w:ind w:hanging="0"/>
    </w:pPr>
    <w:rPr>
      <w:rFonts w:ascii="方正黑体_GBK" w:hAnsi="方正黑体_GBK" w:eastAsia="方正黑体_GBK"/>
      <w:kern w:val="0"/>
      <w:sz w:val="32"/>
      <w:szCs w:val="32"/>
    </w:rPr>
  </w:style>
  <w:style w:type="paragraph" w:styleId="2" w:customStyle="1">
    <w:name w:val="样式2"/>
    <w:basedOn w:val="Style14"/>
    <w:qFormat/>
    <w:rsid w:val="00133843"/>
    <w:pPr>
      <w:snapToGrid w:val="false"/>
      <w:spacing w:lineRule="exact" w:line="590"/>
      <w:ind w:hanging="0"/>
    </w:pPr>
    <w:rPr>
      <w:rFonts w:ascii="方正楷体_GBK" w:hAnsi="方正楷体_GBK" w:eastAsia="方正楷体_GBK"/>
      <w:kern w:val="0"/>
      <w:sz w:val="32"/>
      <w:szCs w:val="3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LanShanOffice/1.3.0.10715$Windows_X86_64 LibreOffice_project/5d14176de2f26366192b0e421c0110698cd0f0fc</Application>
  <AppVersion>15.0000</AppVersion>
  <Pages>2</Pages>
  <Words>847</Words>
  <Characters>857</Characters>
  <CharactersWithSpaces>862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2020-09-11T02:14:00Z</dcterms:created>
  <dc:creator>서 정</dc:creator>
  <dc:description/>
  <dc:language>zh-CN</dc:language>
  <cp:lastModifiedBy/>
  <cp:lastPrinted>2020-08-13T03:42:00Z</cp:lastPrinted>
  <dcterms:modified xsi:type="dcterms:W3CDTF">2021-07-24T09:52:29Z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