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bookmarkStart w:id="22" w:name="_GoBack"/>
      <w:bookmarkEnd w:id="22"/>
    </w:p>
    <w:p>
      <w:pPr>
        <w:jc w:val="center"/>
        <w:rPr>
          <w:rFonts w:ascii="黑体" w:eastAsia="黑体"/>
          <w:sz w:val="36"/>
          <w:szCs w:val="44"/>
        </w:rPr>
      </w:pPr>
      <w:r>
        <w:rPr>
          <w:rFonts w:hint="eastAsia" w:ascii="黑体" w:eastAsia="黑体"/>
          <w:sz w:val="36"/>
          <w:szCs w:val="44"/>
        </w:rPr>
        <w:t>朔州市朔城区窑子头乡梵王寺分院</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8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我单位设置</w:t>
      </w:r>
      <w:r>
        <w:rPr>
          <w:rFonts w:hint="eastAsia" w:ascii="仿宋" w:hAnsi="仿宋" w:eastAsia="仿宋" w:cs="仿宋"/>
          <w:sz w:val="32"/>
          <w:szCs w:val="32"/>
        </w:rPr>
        <w:t>科室12个(预防保健科，全科医疗科，内科，外科，妇产科，妇女保健科，儿科，传染科，地方病科，急诊医学科，医学检验科，中医科)等</w:t>
      </w:r>
      <w:r>
        <w:rPr>
          <w:rFonts w:hint="eastAsia" w:ascii="仿宋" w:hAnsi="仿宋" w:eastAsia="仿宋" w:cs="仿宋"/>
          <w:bCs/>
          <w:sz w:val="32"/>
          <w:szCs w:val="32"/>
        </w:rPr>
        <w:t>。</w:t>
      </w:r>
      <w:r>
        <w:rPr>
          <w:rFonts w:hint="eastAsia" w:ascii="仿宋" w:hAnsi="仿宋" w:eastAsia="仿宋" w:cs="仿宋"/>
          <w:sz w:val="32"/>
          <w:szCs w:val="32"/>
        </w:rPr>
        <w:t>从预算单位构成看，我单位部门决算包括：本级决算。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25884_WPSOffice_Level1"/>
      <w:bookmarkStart w:id="4" w:name="_Toc17336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计100.31万元 、 支 出 总 计100.31万元。与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本年收入合计100.31万元，其中：财政拨款收入100.31万元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上级补助收入0万元，事业收入0万元，经营收入0万元，附属单位上缴收入0万元，其他收入0万元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本年支出合计100.31万元 ，其中：基本支出</w:t>
      </w:r>
      <w:r>
        <w:rPr>
          <w:rFonts w:hint="eastAsia" w:ascii="仿宋" w:hAnsi="仿宋" w:eastAsia="仿宋" w:cs="仿宋"/>
          <w:sz w:val="32"/>
          <w:szCs w:val="32"/>
        </w:rPr>
        <w:t>31.19</w:t>
      </w:r>
      <w:r>
        <w:rPr>
          <w:rFonts w:hint="eastAsia" w:ascii="宋体" w:hAnsi="宋体" w:eastAsia="仿宋_GB2312" w:cs="Times New Roman"/>
          <w:sz w:val="32"/>
          <w:szCs w:val="32"/>
        </w:rPr>
        <w:t>万元 ；项目支出</w:t>
      </w:r>
      <w:r>
        <w:rPr>
          <w:rFonts w:hint="eastAsia" w:ascii="仿宋" w:hAnsi="仿宋" w:eastAsia="仿宋" w:cs="仿宋"/>
          <w:sz w:val="32"/>
          <w:szCs w:val="32"/>
        </w:rPr>
        <w:t>69.12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上缴上级支出0万元；经营支出0万元；对附属单位补助支出0万元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2020 年度财政拨款收入总计100.31万元、支出总计100.31万元。与 2019年无法比较。主要原因是：2019年我单位未做决算，由医疗集团统一做决算。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 年度财政拨款支出100.31万元，与 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2020 年度财政拨款支出100.31万元，主要用于以下方面：</w:t>
      </w:r>
      <w:r>
        <w:rPr>
          <w:rFonts w:hint="eastAsia" w:ascii="宋体" w:hAnsi="宋体" w:eastAsia="仿宋_GB2312" w:cs="Times New Roman"/>
          <w:sz w:val="32"/>
          <w:szCs w:val="32"/>
          <w:lang w:val="en-US" w:eastAsia="zh-CN"/>
        </w:rPr>
        <w:t>210卫生健康支出100.31万元，其中：21001</w:t>
      </w:r>
      <w:r>
        <w:rPr>
          <w:rFonts w:hint="eastAsia" w:ascii="宋体" w:hAnsi="宋体" w:eastAsia="仿宋_GB2312" w:cs="Times New Roman"/>
          <w:sz w:val="32"/>
          <w:szCs w:val="32"/>
        </w:rPr>
        <w:t>卫生健康管理事务科目(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)支出10万元，占9.97%；</w:t>
      </w:r>
      <w:r>
        <w:rPr>
          <w:rFonts w:hint="eastAsia" w:ascii="宋体" w:hAnsi="宋体" w:eastAsia="仿宋_GB2312" w:cs="Times New Roman"/>
          <w:sz w:val="32"/>
          <w:szCs w:val="32"/>
          <w:lang w:val="en-US" w:eastAsia="zh-CN"/>
        </w:rPr>
        <w:t>21003</w:t>
      </w:r>
      <w:r>
        <w:rPr>
          <w:rFonts w:hint="eastAsia" w:ascii="宋体" w:hAnsi="宋体" w:eastAsia="仿宋_GB2312" w:cs="Times New Roman"/>
          <w:sz w:val="32"/>
          <w:szCs w:val="32"/>
        </w:rPr>
        <w:t>基层医疗卫生机构科目(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)支出21.2万元，占21.13%；</w:t>
      </w:r>
      <w:r>
        <w:rPr>
          <w:rFonts w:hint="eastAsia" w:ascii="宋体" w:hAnsi="宋体" w:eastAsia="仿宋_GB2312" w:cs="Times New Roman"/>
          <w:sz w:val="32"/>
          <w:szCs w:val="32"/>
          <w:lang w:val="en-US" w:eastAsia="zh-CN"/>
        </w:rPr>
        <w:t>21004</w:t>
      </w:r>
      <w:r>
        <w:rPr>
          <w:rFonts w:hint="eastAsia" w:ascii="宋体" w:hAnsi="宋体" w:eastAsia="仿宋_GB2312" w:cs="Times New Roman"/>
          <w:sz w:val="32"/>
          <w:szCs w:val="32"/>
        </w:rPr>
        <w:t>公共卫生科目(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)支出59.77万元，占59.59%；</w:t>
      </w:r>
      <w:r>
        <w:rPr>
          <w:rFonts w:hint="eastAsia" w:ascii="宋体" w:hAnsi="宋体" w:eastAsia="仿宋_GB2312" w:cs="Times New Roman"/>
          <w:sz w:val="32"/>
          <w:szCs w:val="32"/>
          <w:lang w:val="en-US" w:eastAsia="zh-CN"/>
        </w:rPr>
        <w:t>21099</w:t>
      </w:r>
      <w:r>
        <w:rPr>
          <w:rFonts w:hint="eastAsia" w:ascii="宋体" w:hAnsi="宋体" w:eastAsia="仿宋_GB2312" w:cs="Times New Roman"/>
          <w:sz w:val="32"/>
          <w:szCs w:val="32"/>
        </w:rPr>
        <w:t>其他卫生健康支出科目(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)支出9.34万元，占9.31%。</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 xml:space="preserve">2020年度一般公共预算财政拨款支出当年调整预算数100.31万元，支出决算为100.31万元，完成当年调整预算的100%。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2020 年度财政拨款基本支出31.19万元，其中：人员经费15.14万元，主要包括工资福利支出15.14万元；</w:t>
      </w:r>
      <w:r>
        <w:rPr>
          <w:rFonts w:hint="eastAsia" w:ascii="宋体" w:hAnsi="宋体" w:eastAsia="仿宋_GB2312" w:cs="Times New Roman"/>
          <w:sz w:val="32"/>
          <w:szCs w:val="32"/>
          <w:lang w:val="en-US" w:eastAsia="zh-CN"/>
        </w:rPr>
        <w:t>对个人和家庭补助支出0万元；</w:t>
      </w:r>
      <w:r>
        <w:rPr>
          <w:rFonts w:hint="eastAsia" w:ascii="宋体" w:hAnsi="宋体" w:eastAsia="仿宋_GB2312" w:cs="Times New Roman"/>
          <w:sz w:val="32"/>
          <w:szCs w:val="32"/>
        </w:rPr>
        <w:t>公用经费</w:t>
      </w:r>
      <w:r>
        <w:rPr>
          <w:rFonts w:hint="eastAsia" w:ascii="仿宋" w:hAnsi="仿宋" w:eastAsia="仿宋" w:cs="仿宋"/>
          <w:spacing w:val="4"/>
          <w:sz w:val="32"/>
          <w:szCs w:val="32"/>
        </w:rPr>
        <w:t>16.05</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16.05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keepNext w:val="0"/>
        <w:keepLines w:val="0"/>
        <w:pageBreakBefore w:val="0"/>
        <w:widowControl w:val="0"/>
        <w:kinsoku/>
        <w:wordWrap/>
        <w:overflowPunct/>
        <w:topLinePunct w:val="0"/>
        <w:autoSpaceDE/>
        <w:autoSpaceDN w:val="0"/>
        <w:bidi w:val="0"/>
        <w:adjustRightInd/>
        <w:snapToGrid/>
        <w:spacing w:line="570" w:lineRule="exact"/>
        <w:ind w:left="159" w:firstLine="640" w:firstLineChars="20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Arial" w:hAnsi="Arial" w:eastAsia="仿宋_GB2312" w:cs="Arial"/>
          <w:bCs/>
          <w:color w:val="000000"/>
          <w:sz w:val="32"/>
          <w:szCs w:val="32"/>
        </w:rPr>
        <w:t>44.49</w:t>
      </w:r>
      <w:r>
        <w:rPr>
          <w:rFonts w:hint="eastAsia" w:ascii="仿宋_GB2312" w:hAnsi="宋体" w:eastAsia="仿宋_GB2312"/>
          <w:bCs/>
          <w:color w:val="000000"/>
          <w:sz w:val="32"/>
          <w:szCs w:val="32"/>
        </w:rPr>
        <w:t>万元，主要是：土地及建筑物</w:t>
      </w:r>
      <w:r>
        <w:rPr>
          <w:rFonts w:hint="eastAsia" w:ascii="Arial" w:hAnsi="Arial" w:eastAsia="仿宋_GB2312" w:cs="Arial"/>
          <w:bCs/>
          <w:color w:val="000000"/>
          <w:sz w:val="32"/>
          <w:szCs w:val="32"/>
        </w:rPr>
        <w:t>21.31万元，通用设备11.46万元，专用设备7.27万元，家具用具4.45万元</w:t>
      </w:r>
      <w:r>
        <w:rPr>
          <w:rFonts w:hint="eastAsia" w:ascii="仿宋_GB2312" w:hAnsi="宋体" w:eastAsia="仿宋_GB2312"/>
          <w:bCs/>
          <w:color w:val="000000"/>
          <w:sz w:val="32"/>
          <w:szCs w:val="32"/>
        </w:rPr>
        <w:t>。</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w:t>
      </w:r>
      <w:r>
        <w:rPr>
          <w:rFonts w:hint="default" w:ascii="仿宋" w:hAnsi="仿宋" w:eastAsia="仿宋" w:cs="仿宋"/>
          <w:spacing w:val="4"/>
          <w:sz w:val="32"/>
          <w:szCs w:val="32"/>
          <w:lang w:val="en"/>
        </w:rPr>
        <w:t>财政拨款</w:t>
      </w:r>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C66A1"/>
    <w:rsid w:val="000D1446"/>
    <w:rsid w:val="0016284E"/>
    <w:rsid w:val="00166810"/>
    <w:rsid w:val="001C7DD3"/>
    <w:rsid w:val="001F43D8"/>
    <w:rsid w:val="00233A27"/>
    <w:rsid w:val="00282672"/>
    <w:rsid w:val="002F2906"/>
    <w:rsid w:val="003621D0"/>
    <w:rsid w:val="00365734"/>
    <w:rsid w:val="00384732"/>
    <w:rsid w:val="00393144"/>
    <w:rsid w:val="004D2CD0"/>
    <w:rsid w:val="00526501"/>
    <w:rsid w:val="005746AF"/>
    <w:rsid w:val="00574C04"/>
    <w:rsid w:val="00586BC4"/>
    <w:rsid w:val="00597EC3"/>
    <w:rsid w:val="005F080F"/>
    <w:rsid w:val="0063154B"/>
    <w:rsid w:val="006911A4"/>
    <w:rsid w:val="00730244"/>
    <w:rsid w:val="00774AFB"/>
    <w:rsid w:val="007F705F"/>
    <w:rsid w:val="0080536D"/>
    <w:rsid w:val="0081773C"/>
    <w:rsid w:val="00850823"/>
    <w:rsid w:val="0087244D"/>
    <w:rsid w:val="00885F89"/>
    <w:rsid w:val="008A33A0"/>
    <w:rsid w:val="00952360"/>
    <w:rsid w:val="00A75EB1"/>
    <w:rsid w:val="00A90F6A"/>
    <w:rsid w:val="00A94527"/>
    <w:rsid w:val="00A964C0"/>
    <w:rsid w:val="00AE22B6"/>
    <w:rsid w:val="00AE782C"/>
    <w:rsid w:val="00AF3A98"/>
    <w:rsid w:val="00BA2EFB"/>
    <w:rsid w:val="00BC47B9"/>
    <w:rsid w:val="00BD263E"/>
    <w:rsid w:val="00C134A0"/>
    <w:rsid w:val="00C20469"/>
    <w:rsid w:val="00C54C77"/>
    <w:rsid w:val="00D60FE1"/>
    <w:rsid w:val="00D647AF"/>
    <w:rsid w:val="00D91E32"/>
    <w:rsid w:val="00DD0F9C"/>
    <w:rsid w:val="00DD48CB"/>
    <w:rsid w:val="00DF08EC"/>
    <w:rsid w:val="00E4217F"/>
    <w:rsid w:val="00E52BFB"/>
    <w:rsid w:val="00E70E8D"/>
    <w:rsid w:val="00E81A2A"/>
    <w:rsid w:val="00E93C25"/>
    <w:rsid w:val="00ED5A6F"/>
    <w:rsid w:val="00FA471F"/>
    <w:rsid w:val="00FB7979"/>
    <w:rsid w:val="026459E5"/>
    <w:rsid w:val="06170A2E"/>
    <w:rsid w:val="07461828"/>
    <w:rsid w:val="179B29AE"/>
    <w:rsid w:val="330D0CFA"/>
    <w:rsid w:val="3C2759BB"/>
    <w:rsid w:val="3F28132A"/>
    <w:rsid w:val="43D535F7"/>
    <w:rsid w:val="4A0D2DE1"/>
    <w:rsid w:val="75FD007E"/>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2316</Words>
  <Characters>698</Characters>
  <Lines>5</Lines>
  <Paragraphs>6</Paragraphs>
  <TotalTime>127</TotalTime>
  <ScaleCrop>false</ScaleCrop>
  <LinksUpToDate>false</LinksUpToDate>
  <CharactersWithSpaces>3008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2021-10-30T14:48:00Z</dcterms:created>
  <dc:creator>Administrator</dc:creator>
  <cp:lastModifiedBy>scqqw</cp:lastModifiedBy>
  <cp:lastPrinted>2021-10-28T19:45:00Z</cp:lastPrinted>
  <dcterms:modified xsi:type="dcterms:W3CDTF">2023-02-17T18:07:53Z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