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7BFDF">
      <w:pPr>
        <w:jc w:val="center"/>
        <w:rPr>
          <w:sz w:val="48"/>
          <w:szCs w:val="48"/>
        </w:rPr>
      </w:pPr>
    </w:p>
    <w:p w14:paraId="51766753">
      <w:pPr>
        <w:jc w:val="center"/>
        <w:rPr>
          <w:rFonts w:hint="eastAsia" w:ascii="黑体" w:eastAsia="黑体"/>
          <w:sz w:val="44"/>
          <w:szCs w:val="44"/>
          <w:lang w:eastAsia="zh-CN"/>
        </w:rPr>
      </w:pPr>
      <w:r>
        <w:rPr>
          <w:rFonts w:hint="eastAsia" w:ascii="黑体" w:eastAsia="黑体"/>
          <w:sz w:val="44"/>
          <w:szCs w:val="44"/>
          <w:lang w:eastAsia="zh-CN"/>
        </w:rPr>
        <w:t>朔城区窑子头乡人民政府</w:t>
      </w:r>
    </w:p>
    <w:p w14:paraId="5A6AB0C0">
      <w:pPr>
        <w:jc w:val="center"/>
        <w:rPr>
          <w:rFonts w:ascii="黑体" w:eastAsia="黑体"/>
          <w:sz w:val="44"/>
          <w:szCs w:val="44"/>
        </w:rPr>
      </w:pPr>
      <w:r>
        <w:rPr>
          <w:rFonts w:hint="eastAsia" w:ascii="黑体" w:eastAsia="黑体"/>
          <w:sz w:val="44"/>
          <w:szCs w:val="44"/>
        </w:rPr>
        <w:t>202</w:t>
      </w:r>
      <w:r>
        <w:rPr>
          <w:rFonts w:hint="eastAsia" w:ascii="黑体" w:eastAsia="黑体"/>
          <w:sz w:val="44"/>
          <w:szCs w:val="44"/>
          <w:lang w:val="en-US" w:eastAsia="zh-CN"/>
        </w:rPr>
        <w:t>1</w:t>
      </w:r>
      <w:r>
        <w:rPr>
          <w:rFonts w:hint="eastAsia" w:ascii="黑体" w:eastAsia="黑体"/>
          <w:sz w:val="44"/>
          <w:szCs w:val="44"/>
        </w:rPr>
        <w:t>年部门决算公开情况说明</w:t>
      </w:r>
    </w:p>
    <w:p w14:paraId="113DAD76">
      <w:pPr>
        <w:spacing w:line="360" w:lineRule="auto"/>
        <w:jc w:val="center"/>
        <w:rPr>
          <w:rFonts w:ascii="宋体" w:hAnsi="宋体" w:cs="宋体"/>
          <w:sz w:val="44"/>
          <w:szCs w:val="44"/>
        </w:rPr>
      </w:pPr>
      <w:bookmarkStart w:id="0" w:name="_Toc4691_WPSOffice_Level1"/>
      <w:bookmarkStart w:id="1" w:name="_Toc8044_WPSOffice_Level1"/>
    </w:p>
    <w:p w14:paraId="71E41ED8">
      <w:pPr>
        <w:pStyle w:val="2"/>
      </w:pPr>
    </w:p>
    <w:p w14:paraId="2AB807A9">
      <w:pPr>
        <w:spacing w:line="360" w:lineRule="auto"/>
        <w:jc w:val="center"/>
        <w:rPr>
          <w:rFonts w:ascii="宋体" w:hAnsi="宋体" w:cs="宋体"/>
          <w:sz w:val="44"/>
          <w:szCs w:val="44"/>
        </w:rPr>
      </w:pPr>
      <w:r>
        <w:rPr>
          <w:rFonts w:hint="eastAsia" w:ascii="宋体" w:hAnsi="宋体" w:cs="宋体"/>
          <w:sz w:val="44"/>
          <w:szCs w:val="44"/>
        </w:rPr>
        <w:t>目录</w:t>
      </w:r>
    </w:p>
    <w:p w14:paraId="353185C8">
      <w:pPr>
        <w:pStyle w:val="8"/>
        <w:tabs>
          <w:tab w:val="right" w:leader="dot" w:pos="8336"/>
        </w:tabs>
        <w:spacing w:line="360" w:lineRule="auto"/>
        <w:ind w:firstLine="600" w:firstLineChars="200"/>
        <w:rPr>
          <w:rFonts w:ascii="宋体" w:hAnsi="宋体" w:cs="宋体"/>
          <w:b/>
          <w:sz w:val="30"/>
          <w:szCs w:val="30"/>
        </w:rPr>
      </w:pPr>
      <w:r>
        <w:rPr>
          <w:rFonts w:hint="eastAsia" w:ascii="宋体" w:hAnsi="宋体" w:cs="宋体"/>
          <w:sz w:val="30"/>
          <w:szCs w:val="30"/>
        </w:rPr>
        <w:fldChar w:fldCharType="begin"/>
      </w:r>
      <w:r>
        <w:rPr>
          <w:rFonts w:hint="eastAsia" w:ascii="宋体" w:hAnsi="宋体" w:cs="宋体"/>
          <w:sz w:val="30"/>
          <w:szCs w:val="30"/>
        </w:rPr>
        <w:instrText xml:space="preserve">TOC \o "1-2" \h \u </w:instrText>
      </w:r>
      <w:r>
        <w:rPr>
          <w:rFonts w:hint="eastAsia" w:ascii="宋体" w:hAnsi="宋体" w:cs="宋体"/>
          <w:sz w:val="30"/>
          <w:szCs w:val="30"/>
        </w:rPr>
        <w:fldChar w:fldCharType="separate"/>
      </w:r>
      <w:r>
        <w:fldChar w:fldCharType="begin"/>
      </w:r>
      <w:r>
        <w:instrText xml:space="preserve"> HYPERLINK \l "_Toc13618" </w:instrText>
      </w:r>
      <w:r>
        <w:fldChar w:fldCharType="separate"/>
      </w:r>
      <w:r>
        <w:fldChar w:fldCharType="end"/>
      </w:r>
      <w:r>
        <w:fldChar w:fldCharType="begin"/>
      </w:r>
      <w:r>
        <w:instrText xml:space="preserve"> HYPERLINK \l "_Toc5949" </w:instrText>
      </w:r>
      <w:r>
        <w:fldChar w:fldCharType="separate"/>
      </w:r>
      <w:r>
        <w:rPr>
          <w:rFonts w:hint="eastAsia" w:ascii="宋体" w:hAnsi="宋体" w:cs="宋体"/>
          <w:b/>
          <w:snapToGrid w:val="0"/>
          <w:spacing w:val="-4"/>
          <w:sz w:val="30"/>
          <w:szCs w:val="30"/>
        </w:rPr>
        <w:t>一、单位概况</w:t>
      </w:r>
      <w:r>
        <w:rPr>
          <w:rFonts w:hint="eastAsia" w:ascii="宋体" w:hAnsi="宋体" w:cs="宋体"/>
          <w:b/>
          <w:snapToGrid w:val="0"/>
          <w:spacing w:val="-4"/>
          <w:sz w:val="30"/>
          <w:szCs w:val="30"/>
        </w:rPr>
        <w:fldChar w:fldCharType="end"/>
      </w:r>
    </w:p>
    <w:p w14:paraId="5CF0240E">
      <w:pPr>
        <w:pStyle w:val="9"/>
        <w:tabs>
          <w:tab w:val="right" w:leader="dot" w:pos="8336"/>
        </w:tabs>
        <w:spacing w:line="360" w:lineRule="auto"/>
        <w:ind w:left="420" w:firstLine="294" w:firstLineChars="100"/>
        <w:rPr>
          <w:rFonts w:ascii="宋体" w:hAnsi="宋体" w:cs="宋体"/>
          <w:spacing w:val="-3"/>
          <w:sz w:val="30"/>
          <w:szCs w:val="30"/>
        </w:rPr>
      </w:pPr>
      <w:r>
        <w:rPr>
          <w:rFonts w:hint="eastAsia" w:ascii="宋体" w:hAnsi="宋体" w:cs="宋体"/>
          <w:spacing w:val="-3"/>
          <w:sz w:val="30"/>
          <w:szCs w:val="30"/>
        </w:rPr>
        <w:t>（一）部门职责。</w:t>
      </w:r>
    </w:p>
    <w:p w14:paraId="7D1AFA67">
      <w:pPr>
        <w:pStyle w:val="9"/>
        <w:tabs>
          <w:tab w:val="right" w:leader="dot" w:pos="8336"/>
        </w:tabs>
        <w:spacing w:line="360" w:lineRule="auto"/>
        <w:ind w:left="420" w:firstLine="294" w:firstLineChars="100"/>
        <w:rPr>
          <w:rFonts w:ascii="宋体" w:hAnsi="宋体" w:cs="宋体"/>
          <w:spacing w:val="-3"/>
          <w:sz w:val="30"/>
          <w:szCs w:val="30"/>
        </w:rPr>
      </w:pPr>
      <w:r>
        <w:rPr>
          <w:rFonts w:hint="eastAsia" w:ascii="宋体" w:hAnsi="宋体" w:cs="宋体"/>
          <w:spacing w:val="-3"/>
          <w:sz w:val="30"/>
          <w:szCs w:val="30"/>
        </w:rPr>
        <w:t>（二）机构设置。</w:t>
      </w:r>
    </w:p>
    <w:p w14:paraId="74FCDA83">
      <w:pPr>
        <w:pStyle w:val="8"/>
        <w:tabs>
          <w:tab w:val="right" w:leader="dot" w:pos="8336"/>
        </w:tabs>
        <w:spacing w:line="360" w:lineRule="auto"/>
        <w:ind w:firstLine="600" w:firstLineChars="300"/>
        <w:rPr>
          <w:rFonts w:ascii="宋体" w:hAnsi="宋体" w:cs="宋体"/>
          <w:b/>
          <w:sz w:val="30"/>
          <w:szCs w:val="30"/>
        </w:rPr>
      </w:pPr>
      <w:r>
        <w:fldChar w:fldCharType="begin"/>
      </w:r>
      <w:r>
        <w:instrText xml:space="preserve"> HYPERLINK \l "_Toc21204" </w:instrText>
      </w:r>
      <w:r>
        <w:fldChar w:fldCharType="separate"/>
      </w:r>
      <w:r>
        <w:rPr>
          <w:rFonts w:hint="eastAsia" w:ascii="宋体" w:hAnsi="宋体" w:cs="宋体"/>
          <w:b/>
          <w:snapToGrid w:val="0"/>
          <w:spacing w:val="-4"/>
          <w:sz w:val="30"/>
          <w:szCs w:val="30"/>
        </w:rPr>
        <w:t>二、</w:t>
      </w:r>
      <w:r>
        <w:rPr>
          <w:rFonts w:hint="eastAsia" w:ascii="宋体" w:hAnsi="宋体" w:cs="宋体"/>
          <w:b/>
          <w:snapToGrid w:val="0"/>
          <w:spacing w:val="-4"/>
          <w:sz w:val="30"/>
          <w:szCs w:val="30"/>
        </w:rPr>
        <w:fldChar w:fldCharType="end"/>
      </w:r>
      <w:r>
        <w:rPr>
          <w:rFonts w:hint="eastAsia" w:ascii="宋体" w:hAnsi="宋体" w:cs="宋体"/>
          <w:b/>
          <w:sz w:val="30"/>
          <w:szCs w:val="30"/>
        </w:rPr>
        <w:t>202</w:t>
      </w:r>
      <w:r>
        <w:rPr>
          <w:rFonts w:hint="eastAsia" w:ascii="宋体" w:hAnsi="宋体" w:cs="宋体"/>
          <w:b/>
          <w:sz w:val="30"/>
          <w:szCs w:val="30"/>
          <w:lang w:val="en-US" w:eastAsia="zh-CN"/>
        </w:rPr>
        <w:t>1</w:t>
      </w:r>
      <w:r>
        <w:rPr>
          <w:rFonts w:hint="eastAsia" w:ascii="宋体" w:hAnsi="宋体" w:cs="宋体"/>
          <w:b/>
          <w:sz w:val="30"/>
          <w:szCs w:val="30"/>
        </w:rPr>
        <w:t>年度部门决算公开报表</w:t>
      </w:r>
    </w:p>
    <w:p w14:paraId="54CBE3CA">
      <w:pPr>
        <w:pStyle w:val="8"/>
        <w:tabs>
          <w:tab w:val="right" w:leader="dot" w:pos="8336"/>
        </w:tabs>
        <w:spacing w:line="360" w:lineRule="auto"/>
        <w:ind w:firstLine="602" w:firstLineChars="200"/>
        <w:rPr>
          <w:rFonts w:ascii="宋体" w:hAnsi="宋体" w:cs="宋体"/>
          <w:b/>
          <w:sz w:val="30"/>
          <w:szCs w:val="30"/>
        </w:rPr>
      </w:pPr>
      <w:r>
        <w:rPr>
          <w:rFonts w:hint="eastAsia" w:ascii="宋体" w:hAnsi="宋体" w:cs="宋体"/>
          <w:b/>
          <w:sz w:val="30"/>
          <w:szCs w:val="30"/>
        </w:rPr>
        <w:t>三、202</w:t>
      </w:r>
      <w:r>
        <w:rPr>
          <w:rFonts w:hint="eastAsia" w:ascii="宋体" w:hAnsi="宋体" w:cs="宋体"/>
          <w:b/>
          <w:sz w:val="30"/>
          <w:szCs w:val="30"/>
          <w:lang w:val="en-US" w:eastAsia="zh-CN"/>
        </w:rPr>
        <w:t>1</w:t>
      </w:r>
      <w:r>
        <w:rPr>
          <w:rFonts w:hint="eastAsia" w:ascii="宋体" w:hAnsi="宋体" w:cs="宋体"/>
          <w:b/>
          <w:sz w:val="30"/>
          <w:szCs w:val="30"/>
        </w:rPr>
        <w:t>年度部门决算情况说明</w:t>
      </w:r>
    </w:p>
    <w:p w14:paraId="05DC0612">
      <w:pPr>
        <w:pStyle w:val="9"/>
        <w:tabs>
          <w:tab w:val="right" w:leader="dot" w:pos="8336"/>
        </w:tabs>
        <w:spacing w:line="360" w:lineRule="auto"/>
        <w:ind w:left="420" w:firstLine="300" w:firstLineChars="100"/>
        <w:rPr>
          <w:rFonts w:ascii="宋体" w:hAnsi="宋体" w:cs="宋体"/>
          <w:sz w:val="30"/>
          <w:szCs w:val="30"/>
        </w:rPr>
      </w:pPr>
      <w:r>
        <w:rPr>
          <w:rFonts w:hint="eastAsia" w:ascii="宋体" w:hAnsi="宋体" w:cs="宋体"/>
          <w:sz w:val="30"/>
          <w:szCs w:val="30"/>
        </w:rPr>
        <w:t>（一）</w:t>
      </w:r>
      <w:r>
        <w:fldChar w:fldCharType="begin"/>
      </w:r>
      <w:r>
        <w:instrText xml:space="preserve"> HYPERLINK \l "_Toc8341" </w:instrText>
      </w:r>
      <w:r>
        <w:fldChar w:fldCharType="separate"/>
      </w:r>
      <w:r>
        <w:rPr>
          <w:rFonts w:hint="eastAsia" w:ascii="宋体" w:hAnsi="宋体" w:cs="宋体"/>
          <w:spacing w:val="-3"/>
          <w:sz w:val="30"/>
          <w:szCs w:val="30"/>
        </w:rPr>
        <w:t>收入支出决算总体情况说明</w:t>
      </w:r>
      <w:r>
        <w:rPr>
          <w:rFonts w:hint="eastAsia" w:ascii="宋体" w:hAnsi="宋体" w:cs="宋体"/>
          <w:spacing w:val="-3"/>
          <w:sz w:val="30"/>
          <w:szCs w:val="30"/>
        </w:rPr>
        <w:fldChar w:fldCharType="end"/>
      </w:r>
      <w:r>
        <w:rPr>
          <w:rFonts w:hint="eastAsia" w:ascii="宋体" w:hAnsi="宋体" w:cs="宋体"/>
          <w:sz w:val="30"/>
          <w:szCs w:val="30"/>
        </w:rPr>
        <w:t>。</w:t>
      </w:r>
    </w:p>
    <w:p w14:paraId="4C7601E6">
      <w:pPr>
        <w:pStyle w:val="9"/>
        <w:tabs>
          <w:tab w:val="right" w:leader="dot" w:pos="8336"/>
        </w:tabs>
        <w:spacing w:line="360" w:lineRule="auto"/>
        <w:ind w:left="420" w:firstLine="300" w:firstLineChars="100"/>
        <w:rPr>
          <w:rFonts w:ascii="宋体" w:hAnsi="宋体" w:cs="宋体"/>
          <w:sz w:val="30"/>
          <w:szCs w:val="30"/>
        </w:rPr>
      </w:pPr>
      <w:r>
        <w:rPr>
          <w:rFonts w:hint="eastAsia" w:ascii="宋体" w:hAnsi="宋体" w:cs="宋体"/>
          <w:sz w:val="30"/>
          <w:szCs w:val="30"/>
        </w:rPr>
        <w:t>（二）</w:t>
      </w:r>
      <w:r>
        <w:fldChar w:fldCharType="begin"/>
      </w:r>
      <w:r>
        <w:instrText xml:space="preserve"> HYPERLINK \l "_Toc748" </w:instrText>
      </w:r>
      <w:r>
        <w:fldChar w:fldCharType="separate"/>
      </w:r>
      <w:r>
        <w:rPr>
          <w:rFonts w:hint="eastAsia" w:ascii="宋体" w:hAnsi="宋体" w:cs="宋体"/>
          <w:spacing w:val="-3"/>
          <w:sz w:val="30"/>
          <w:szCs w:val="30"/>
        </w:rPr>
        <w:t>收入决算情况说明</w:t>
      </w:r>
      <w:r>
        <w:rPr>
          <w:rFonts w:hint="eastAsia" w:ascii="宋体" w:hAnsi="宋体" w:cs="宋体"/>
          <w:sz w:val="30"/>
          <w:szCs w:val="30"/>
        </w:rPr>
        <w:t>。</w:t>
      </w:r>
      <w:r>
        <w:rPr>
          <w:rFonts w:hint="eastAsia" w:ascii="宋体" w:hAnsi="宋体" w:cs="宋体"/>
          <w:sz w:val="30"/>
          <w:szCs w:val="30"/>
        </w:rPr>
        <w:fldChar w:fldCharType="end"/>
      </w:r>
    </w:p>
    <w:p w14:paraId="2DF4A0F0">
      <w:pPr>
        <w:pStyle w:val="9"/>
        <w:tabs>
          <w:tab w:val="right" w:leader="dot" w:pos="8336"/>
        </w:tabs>
        <w:spacing w:line="360" w:lineRule="auto"/>
        <w:ind w:left="420" w:firstLine="300" w:firstLineChars="100"/>
        <w:rPr>
          <w:rFonts w:ascii="宋体" w:hAnsi="宋体" w:cs="宋体"/>
          <w:sz w:val="30"/>
          <w:szCs w:val="30"/>
        </w:rPr>
      </w:pPr>
      <w:r>
        <w:rPr>
          <w:rFonts w:hint="eastAsia" w:ascii="宋体" w:hAnsi="宋体" w:cs="宋体"/>
          <w:sz w:val="30"/>
          <w:szCs w:val="30"/>
        </w:rPr>
        <w:t>（三）</w:t>
      </w:r>
      <w:r>
        <w:fldChar w:fldCharType="begin"/>
      </w:r>
      <w:r>
        <w:instrText xml:space="preserve"> HYPERLINK \l "_Toc6782" </w:instrText>
      </w:r>
      <w:r>
        <w:fldChar w:fldCharType="separate"/>
      </w:r>
      <w:r>
        <w:rPr>
          <w:rFonts w:hint="eastAsia" w:ascii="宋体" w:hAnsi="宋体" w:cs="宋体"/>
          <w:spacing w:val="-3"/>
          <w:sz w:val="30"/>
          <w:szCs w:val="30"/>
        </w:rPr>
        <w:t>支出决算情况说明</w:t>
      </w:r>
      <w:r>
        <w:rPr>
          <w:rFonts w:hint="eastAsia" w:ascii="宋体" w:hAnsi="宋体" w:cs="宋体"/>
          <w:sz w:val="30"/>
          <w:szCs w:val="30"/>
        </w:rPr>
        <w:t>。</w:t>
      </w:r>
      <w:r>
        <w:rPr>
          <w:rFonts w:hint="eastAsia" w:ascii="宋体" w:hAnsi="宋体" w:cs="宋体"/>
          <w:sz w:val="30"/>
          <w:szCs w:val="30"/>
        </w:rPr>
        <w:fldChar w:fldCharType="end"/>
      </w:r>
    </w:p>
    <w:p w14:paraId="0AE51521">
      <w:pPr>
        <w:pStyle w:val="9"/>
        <w:tabs>
          <w:tab w:val="right" w:leader="dot" w:pos="8336"/>
        </w:tabs>
        <w:spacing w:line="360" w:lineRule="auto"/>
        <w:ind w:left="420" w:firstLine="300" w:firstLineChars="100"/>
        <w:rPr>
          <w:rFonts w:ascii="宋体" w:hAnsi="宋体" w:cs="宋体"/>
          <w:sz w:val="30"/>
          <w:szCs w:val="30"/>
        </w:rPr>
      </w:pPr>
      <w:r>
        <w:rPr>
          <w:rFonts w:hint="eastAsia" w:ascii="宋体" w:hAnsi="宋体" w:cs="宋体"/>
          <w:sz w:val="30"/>
          <w:szCs w:val="30"/>
        </w:rPr>
        <w:t>（四）</w:t>
      </w:r>
      <w:r>
        <w:fldChar w:fldCharType="begin"/>
      </w:r>
      <w:r>
        <w:instrText xml:space="preserve"> HYPERLINK \l "_Toc14644" </w:instrText>
      </w:r>
      <w:r>
        <w:fldChar w:fldCharType="separate"/>
      </w:r>
      <w:r>
        <w:rPr>
          <w:rFonts w:hint="eastAsia" w:ascii="宋体" w:hAnsi="宋体" w:cs="宋体"/>
          <w:spacing w:val="-3"/>
          <w:sz w:val="30"/>
          <w:szCs w:val="30"/>
        </w:rPr>
        <w:t>财政拨款收入支出决算总体情况说明</w:t>
      </w:r>
      <w:r>
        <w:rPr>
          <w:rFonts w:hint="eastAsia" w:ascii="宋体" w:hAnsi="宋体" w:cs="宋体"/>
          <w:sz w:val="30"/>
          <w:szCs w:val="30"/>
        </w:rPr>
        <w:t>。</w:t>
      </w:r>
      <w:r>
        <w:rPr>
          <w:rFonts w:hint="eastAsia" w:ascii="宋体" w:hAnsi="宋体" w:cs="宋体"/>
          <w:sz w:val="30"/>
          <w:szCs w:val="30"/>
        </w:rPr>
        <w:fldChar w:fldCharType="end"/>
      </w:r>
    </w:p>
    <w:p w14:paraId="3D415BBA">
      <w:pPr>
        <w:pStyle w:val="9"/>
        <w:tabs>
          <w:tab w:val="right" w:leader="dot" w:pos="8336"/>
        </w:tabs>
        <w:spacing w:line="360" w:lineRule="auto"/>
        <w:ind w:left="420" w:firstLine="300" w:firstLineChars="100"/>
        <w:rPr>
          <w:rFonts w:ascii="宋体" w:hAnsi="宋体" w:cs="宋体"/>
          <w:sz w:val="30"/>
          <w:szCs w:val="30"/>
        </w:rPr>
      </w:pPr>
      <w:r>
        <w:rPr>
          <w:rFonts w:hint="eastAsia" w:ascii="宋体" w:hAnsi="宋体" w:cs="宋体"/>
          <w:sz w:val="30"/>
          <w:szCs w:val="30"/>
        </w:rPr>
        <w:t>（五）</w:t>
      </w:r>
      <w:r>
        <w:fldChar w:fldCharType="begin"/>
      </w:r>
      <w:r>
        <w:instrText xml:space="preserve"> HYPERLINK \l "_Toc2367" </w:instrText>
      </w:r>
      <w:r>
        <w:fldChar w:fldCharType="separate"/>
      </w:r>
      <w:r>
        <w:rPr>
          <w:rFonts w:hint="eastAsia" w:ascii="宋体" w:hAnsi="宋体" w:cs="宋体"/>
          <w:spacing w:val="-3"/>
          <w:sz w:val="30"/>
          <w:szCs w:val="30"/>
        </w:rPr>
        <w:t>一般公共预算财政拨款支出决算情况说明</w:t>
      </w:r>
      <w:r>
        <w:rPr>
          <w:rFonts w:hint="eastAsia" w:ascii="宋体" w:hAnsi="宋体" w:cs="宋体"/>
          <w:sz w:val="30"/>
          <w:szCs w:val="30"/>
        </w:rPr>
        <w:t>。</w:t>
      </w:r>
      <w:r>
        <w:rPr>
          <w:rFonts w:hint="eastAsia" w:ascii="宋体" w:hAnsi="宋体" w:cs="宋体"/>
          <w:sz w:val="30"/>
          <w:szCs w:val="30"/>
        </w:rPr>
        <w:fldChar w:fldCharType="end"/>
      </w:r>
    </w:p>
    <w:p w14:paraId="662A6D5E">
      <w:pPr>
        <w:pStyle w:val="9"/>
        <w:tabs>
          <w:tab w:val="right" w:leader="dot" w:pos="8336"/>
        </w:tabs>
        <w:spacing w:line="360" w:lineRule="auto"/>
        <w:ind w:left="420" w:firstLine="300" w:firstLineChars="100"/>
        <w:rPr>
          <w:rFonts w:ascii="宋体" w:hAnsi="宋体" w:cs="宋体"/>
          <w:sz w:val="30"/>
          <w:szCs w:val="30"/>
        </w:rPr>
      </w:pPr>
      <w:r>
        <w:rPr>
          <w:rFonts w:hint="eastAsia" w:ascii="宋体" w:hAnsi="宋体" w:cs="宋体"/>
          <w:sz w:val="30"/>
          <w:szCs w:val="30"/>
        </w:rPr>
        <w:t>（六）</w:t>
      </w:r>
      <w:r>
        <w:fldChar w:fldCharType="begin"/>
      </w:r>
      <w:r>
        <w:instrText xml:space="preserve"> HYPERLINK \l "_Toc16205" </w:instrText>
      </w:r>
      <w:r>
        <w:fldChar w:fldCharType="separate"/>
      </w:r>
      <w:r>
        <w:rPr>
          <w:rFonts w:hint="eastAsia" w:ascii="宋体" w:hAnsi="宋体" w:cs="宋体"/>
          <w:spacing w:val="-3"/>
          <w:sz w:val="30"/>
          <w:szCs w:val="30"/>
        </w:rPr>
        <w:t>一般公共预算财政拨款基本支出决算情况说明</w:t>
      </w:r>
      <w:r>
        <w:rPr>
          <w:rFonts w:hint="eastAsia" w:ascii="宋体" w:hAnsi="宋体" w:cs="宋体"/>
          <w:sz w:val="30"/>
          <w:szCs w:val="30"/>
        </w:rPr>
        <w:t>。</w:t>
      </w:r>
      <w:r>
        <w:rPr>
          <w:rFonts w:hint="eastAsia" w:ascii="宋体" w:hAnsi="宋体" w:cs="宋体"/>
          <w:sz w:val="30"/>
          <w:szCs w:val="30"/>
        </w:rPr>
        <w:fldChar w:fldCharType="end"/>
      </w:r>
    </w:p>
    <w:p w14:paraId="7904EB9A">
      <w:pPr>
        <w:pStyle w:val="9"/>
        <w:tabs>
          <w:tab w:val="right" w:leader="dot" w:pos="8336"/>
        </w:tabs>
        <w:spacing w:line="360" w:lineRule="auto"/>
        <w:ind w:left="420" w:firstLine="300" w:firstLineChars="100"/>
        <w:rPr>
          <w:rFonts w:ascii="宋体" w:hAnsi="宋体" w:cs="宋体"/>
          <w:sz w:val="30"/>
          <w:szCs w:val="30"/>
        </w:rPr>
      </w:pPr>
      <w:r>
        <w:rPr>
          <w:rFonts w:hint="eastAsia" w:ascii="宋体" w:hAnsi="宋体" w:cs="宋体"/>
          <w:sz w:val="30"/>
          <w:szCs w:val="30"/>
        </w:rPr>
        <w:t>（七）</w:t>
      </w:r>
      <w:r>
        <w:fldChar w:fldCharType="begin"/>
      </w:r>
      <w:r>
        <w:instrText xml:space="preserve"> HYPERLINK \l "_Toc27268" </w:instrText>
      </w:r>
      <w:r>
        <w:fldChar w:fldCharType="separate"/>
      </w:r>
      <w:r>
        <w:rPr>
          <w:rFonts w:hint="eastAsia" w:ascii="宋体" w:hAnsi="宋体" w:cs="宋体"/>
          <w:spacing w:val="-3"/>
          <w:sz w:val="30"/>
          <w:szCs w:val="30"/>
        </w:rPr>
        <w:t>一般公共预算财政拨款“三公”经费支出决算情况说明</w:t>
      </w:r>
      <w:r>
        <w:rPr>
          <w:rFonts w:hint="eastAsia" w:ascii="宋体" w:hAnsi="宋体" w:cs="宋体"/>
          <w:sz w:val="30"/>
          <w:szCs w:val="30"/>
        </w:rPr>
        <w:t>。</w:t>
      </w:r>
      <w:r>
        <w:rPr>
          <w:rFonts w:hint="eastAsia" w:ascii="宋体" w:hAnsi="宋体" w:cs="宋体"/>
          <w:sz w:val="30"/>
          <w:szCs w:val="30"/>
        </w:rPr>
        <w:fldChar w:fldCharType="end"/>
      </w:r>
    </w:p>
    <w:p w14:paraId="2ACC01EC">
      <w:pPr>
        <w:pStyle w:val="9"/>
        <w:tabs>
          <w:tab w:val="right" w:leader="dot" w:pos="8336"/>
        </w:tabs>
        <w:spacing w:line="360" w:lineRule="auto"/>
        <w:ind w:left="420" w:firstLine="300" w:firstLineChars="100"/>
        <w:rPr>
          <w:rFonts w:ascii="宋体" w:hAnsi="宋体" w:cs="宋体"/>
          <w:sz w:val="30"/>
          <w:szCs w:val="30"/>
        </w:rPr>
      </w:pPr>
      <w:r>
        <w:rPr>
          <w:rFonts w:hint="eastAsia" w:ascii="宋体" w:hAnsi="宋体" w:cs="宋体"/>
          <w:sz w:val="30"/>
          <w:szCs w:val="30"/>
        </w:rPr>
        <w:t>（八）</w:t>
      </w:r>
      <w:r>
        <w:fldChar w:fldCharType="begin"/>
      </w:r>
      <w:r>
        <w:instrText xml:space="preserve"> HYPERLINK \l "_Toc233" </w:instrText>
      </w:r>
      <w:r>
        <w:fldChar w:fldCharType="separate"/>
      </w:r>
      <w:r>
        <w:rPr>
          <w:rFonts w:hint="eastAsia" w:ascii="宋体" w:hAnsi="宋体" w:cs="宋体"/>
          <w:spacing w:val="-3"/>
          <w:sz w:val="30"/>
          <w:szCs w:val="30"/>
        </w:rPr>
        <w:t>政府性基金预算收入支出决算情况说明</w:t>
      </w:r>
      <w:r>
        <w:rPr>
          <w:rFonts w:hint="eastAsia" w:ascii="宋体" w:hAnsi="宋体" w:cs="宋体"/>
          <w:sz w:val="30"/>
          <w:szCs w:val="30"/>
        </w:rPr>
        <w:t>。</w:t>
      </w:r>
      <w:r>
        <w:rPr>
          <w:rFonts w:hint="eastAsia" w:ascii="宋体" w:hAnsi="宋体" w:cs="宋体"/>
          <w:sz w:val="30"/>
          <w:szCs w:val="30"/>
        </w:rPr>
        <w:fldChar w:fldCharType="end"/>
      </w:r>
    </w:p>
    <w:p w14:paraId="47B427E6">
      <w:pPr>
        <w:pStyle w:val="9"/>
        <w:tabs>
          <w:tab w:val="right" w:leader="dot" w:pos="8336"/>
        </w:tabs>
        <w:spacing w:line="360" w:lineRule="auto"/>
        <w:ind w:left="420" w:firstLine="300" w:firstLineChars="100"/>
        <w:rPr>
          <w:rFonts w:ascii="宋体" w:hAnsi="宋体" w:cs="宋体"/>
          <w:sz w:val="30"/>
          <w:szCs w:val="30"/>
        </w:rPr>
      </w:pPr>
      <w:r>
        <w:rPr>
          <w:rFonts w:hint="eastAsia" w:ascii="宋体" w:hAnsi="宋体" w:cs="宋体"/>
          <w:sz w:val="30"/>
          <w:szCs w:val="30"/>
        </w:rPr>
        <w:t>（九）</w:t>
      </w:r>
      <w:r>
        <w:fldChar w:fldCharType="begin"/>
      </w:r>
      <w:r>
        <w:instrText xml:space="preserve"> HYPERLINK \l "_Toc13584" </w:instrText>
      </w:r>
      <w:r>
        <w:fldChar w:fldCharType="separate"/>
      </w:r>
      <w:r>
        <w:rPr>
          <w:rFonts w:hint="eastAsia" w:ascii="宋体" w:hAnsi="宋体" w:cs="宋体"/>
          <w:spacing w:val="-3"/>
          <w:sz w:val="30"/>
          <w:szCs w:val="30"/>
        </w:rPr>
        <w:t>其他重要事项的情况说明</w:t>
      </w:r>
      <w:r>
        <w:rPr>
          <w:rFonts w:hint="eastAsia" w:ascii="宋体" w:hAnsi="宋体" w:cs="宋体"/>
          <w:sz w:val="30"/>
          <w:szCs w:val="30"/>
        </w:rPr>
        <w:t>。</w:t>
      </w:r>
      <w:r>
        <w:rPr>
          <w:rFonts w:hint="eastAsia" w:ascii="宋体" w:hAnsi="宋体" w:cs="宋体"/>
          <w:sz w:val="30"/>
          <w:szCs w:val="30"/>
        </w:rPr>
        <w:fldChar w:fldCharType="end"/>
      </w:r>
    </w:p>
    <w:p w14:paraId="058D5C36">
      <w:pPr>
        <w:pStyle w:val="8"/>
        <w:tabs>
          <w:tab w:val="right" w:leader="dot" w:pos="8336"/>
        </w:tabs>
        <w:spacing w:line="360" w:lineRule="auto"/>
        <w:ind w:firstLine="300" w:firstLineChars="150"/>
        <w:rPr>
          <w:rFonts w:ascii="宋体" w:hAnsi="宋体" w:cs="宋体"/>
          <w:b/>
          <w:sz w:val="30"/>
          <w:szCs w:val="30"/>
        </w:rPr>
      </w:pPr>
      <w:r>
        <w:fldChar w:fldCharType="begin"/>
      </w:r>
      <w:r>
        <w:instrText xml:space="preserve"> HYPERLINK \l "_Toc13389" </w:instrText>
      </w:r>
      <w:r>
        <w:fldChar w:fldCharType="separate"/>
      </w:r>
      <w:r>
        <w:rPr>
          <w:rFonts w:hint="eastAsia" w:ascii="宋体" w:hAnsi="宋体" w:cs="宋体"/>
          <w:b/>
          <w:snapToGrid w:val="0"/>
          <w:spacing w:val="-4"/>
          <w:sz w:val="30"/>
          <w:szCs w:val="30"/>
        </w:rPr>
        <w:t>四、 名词解释</w:t>
      </w:r>
      <w:r>
        <w:rPr>
          <w:rFonts w:hint="eastAsia" w:ascii="宋体" w:hAnsi="宋体" w:cs="宋体"/>
          <w:b/>
          <w:snapToGrid w:val="0"/>
          <w:spacing w:val="-4"/>
          <w:sz w:val="30"/>
          <w:szCs w:val="30"/>
        </w:rPr>
        <w:fldChar w:fldCharType="end"/>
      </w:r>
    </w:p>
    <w:p w14:paraId="5A7320F9">
      <w:pPr>
        <w:ind w:firstLine="3614" w:firstLineChars="1200"/>
        <w:rPr>
          <w:rFonts w:ascii="宋体" w:hAnsi="宋体" w:cs="宋体"/>
          <w:b/>
          <w:sz w:val="30"/>
          <w:szCs w:val="30"/>
        </w:rPr>
      </w:pPr>
      <w:r>
        <w:rPr>
          <w:rFonts w:hint="eastAsia" w:ascii="宋体" w:hAnsi="宋体" w:cs="宋体"/>
          <w:b/>
          <w:sz w:val="30"/>
          <w:szCs w:val="30"/>
        </w:rPr>
        <w:fldChar w:fldCharType="end"/>
      </w:r>
    </w:p>
    <w:p w14:paraId="1B5670D1">
      <w:pPr>
        <w:ind w:firstLine="3744" w:firstLineChars="1200"/>
        <w:rPr>
          <w:rFonts w:ascii="黑体" w:hAnsi="黑体" w:eastAsia="黑体" w:cs="黑体"/>
          <w:snapToGrid w:val="0"/>
          <w:color w:val="000000"/>
          <w:spacing w:val="-4"/>
          <w:kern w:val="0"/>
          <w:sz w:val="32"/>
          <w:szCs w:val="32"/>
        </w:rPr>
      </w:pPr>
      <w:r>
        <w:rPr>
          <w:rFonts w:hint="eastAsia" w:ascii="黑体" w:hAnsi="黑体" w:eastAsia="黑体" w:cs="黑体"/>
          <w:snapToGrid w:val="0"/>
          <w:color w:val="000000"/>
          <w:spacing w:val="-4"/>
          <w:kern w:val="0"/>
          <w:sz w:val="32"/>
          <w:szCs w:val="32"/>
        </w:rPr>
        <w:t>第一部分</w:t>
      </w:r>
      <w:r>
        <w:rPr>
          <w:rFonts w:ascii="黑体" w:hAnsi="黑体" w:eastAsia="黑体" w:cs="黑体"/>
          <w:snapToGrid w:val="0"/>
          <w:color w:val="000000"/>
          <w:spacing w:val="-4"/>
          <w:kern w:val="0"/>
          <w:sz w:val="32"/>
          <w:szCs w:val="32"/>
        </w:rPr>
        <w:t>概况</w:t>
      </w:r>
      <w:bookmarkEnd w:id="0"/>
      <w:bookmarkEnd w:id="1"/>
    </w:p>
    <w:p w14:paraId="27245D56">
      <w:pPr>
        <w:numPr>
          <w:ilvl w:val="0"/>
          <w:numId w:val="1"/>
        </w:numPr>
        <w:rPr>
          <w:rFonts w:ascii="仿宋" w:hAnsi="仿宋" w:eastAsia="仿宋" w:cs="仿宋"/>
          <w:sz w:val="32"/>
          <w:szCs w:val="32"/>
        </w:rPr>
      </w:pPr>
      <w:bookmarkStart w:id="2" w:name="_Toc7430_WPSOffice_Level1"/>
      <w:r>
        <w:rPr>
          <w:rFonts w:hint="eastAsia" w:ascii="仿宋" w:hAnsi="仿宋" w:eastAsia="仿宋" w:cs="仿宋"/>
          <w:sz w:val="32"/>
          <w:szCs w:val="32"/>
        </w:rPr>
        <w:t>主要职能职责</w:t>
      </w:r>
    </w:p>
    <w:p w14:paraId="37F00E2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坚决执行党的路线、方针、政策和国家的法律、法规。执行上级党委、政府的决定和命令以及人民代表大会的决议。贯彻落实区委、区政府的重大决策和重要工作部署。</w:t>
      </w:r>
    </w:p>
    <w:p w14:paraId="6E3C2DB9">
      <w:pPr>
        <w:ind w:firstLine="640" w:firstLineChars="200"/>
        <w:rPr>
          <w:rFonts w:hint="eastAsia" w:ascii="仿宋" w:hAnsi="仿宋" w:eastAsia="仿宋" w:cs="仿宋"/>
          <w:sz w:val="32"/>
          <w:szCs w:val="32"/>
        </w:rPr>
      </w:pPr>
      <w:r>
        <w:rPr>
          <w:rFonts w:hint="eastAsia" w:ascii="仿宋" w:hAnsi="仿宋" w:eastAsia="仿宋" w:cs="仿宋"/>
          <w:sz w:val="32"/>
          <w:szCs w:val="32"/>
        </w:rPr>
        <w:t>2、制定并组织实施本乡社会和经济发展规划。预算和管理本行政区域内的经济、教育、科学、文化、卫生、体育</w:t>
      </w:r>
    </w:p>
    <w:p w14:paraId="0A674AF4">
      <w:pPr>
        <w:rPr>
          <w:rFonts w:hint="eastAsia" w:ascii="仿宋" w:hAnsi="仿宋" w:eastAsia="仿宋" w:cs="仿宋"/>
          <w:sz w:val="32"/>
          <w:szCs w:val="32"/>
        </w:rPr>
      </w:pPr>
      <w:r>
        <w:rPr>
          <w:rFonts w:hint="eastAsia" w:ascii="仿宋" w:hAnsi="仿宋" w:eastAsia="仿宋" w:cs="仿宋"/>
          <w:sz w:val="32"/>
          <w:szCs w:val="32"/>
        </w:rPr>
        <w:t>事业以及财政、民政、公安、司法、计划生育等综合性工作。</w:t>
      </w:r>
    </w:p>
    <w:p w14:paraId="79D3FD89">
      <w:pPr>
        <w:ind w:firstLine="640" w:firstLineChars="200"/>
        <w:rPr>
          <w:rFonts w:hint="eastAsia" w:ascii="仿宋" w:hAnsi="仿宋" w:eastAsia="仿宋" w:cs="仿宋"/>
          <w:sz w:val="32"/>
          <w:szCs w:val="32"/>
        </w:rPr>
      </w:pPr>
      <w:r>
        <w:rPr>
          <w:rFonts w:hint="eastAsia" w:ascii="仿宋" w:hAnsi="仿宋" w:eastAsia="仿宋" w:cs="仿宋"/>
          <w:sz w:val="32"/>
          <w:szCs w:val="32"/>
        </w:rPr>
        <w:t>3、按计划组织本级财政收入，完成财政计划，管好财政资金，增强财政实力。</w:t>
      </w:r>
    </w:p>
    <w:p w14:paraId="765FBA80">
      <w:pPr>
        <w:ind w:firstLine="640" w:firstLineChars="200"/>
        <w:rPr>
          <w:rFonts w:hint="eastAsia" w:ascii="仿宋" w:hAnsi="仿宋" w:eastAsia="仿宋" w:cs="仿宋"/>
          <w:sz w:val="32"/>
          <w:szCs w:val="32"/>
        </w:rPr>
      </w:pPr>
      <w:r>
        <w:rPr>
          <w:rFonts w:hint="eastAsia" w:ascii="仿宋" w:hAnsi="仿宋" w:eastAsia="仿宋" w:cs="仿宋"/>
          <w:sz w:val="32"/>
          <w:szCs w:val="32"/>
        </w:rPr>
        <w:t>4、向本乡党委、人民代表大会报告工作。组织指导好各业生产和村委会的工作，抓好基层政权建设、乡村建设和精神文明建设，促进各项社会事业的健康发展。</w:t>
      </w:r>
    </w:p>
    <w:p w14:paraId="14E09B0B">
      <w:pPr>
        <w:ind w:firstLine="640" w:firstLineChars="200"/>
        <w:rPr>
          <w:rFonts w:hint="eastAsia" w:ascii="仿宋" w:hAnsi="仿宋" w:eastAsia="仿宋" w:cs="仿宋"/>
          <w:sz w:val="32"/>
          <w:szCs w:val="32"/>
        </w:rPr>
      </w:pPr>
      <w:r>
        <w:rPr>
          <w:rFonts w:hint="eastAsia" w:ascii="仿宋" w:hAnsi="仿宋" w:eastAsia="仿宋" w:cs="仿宋"/>
          <w:sz w:val="32"/>
          <w:szCs w:val="32"/>
        </w:rPr>
        <w:t>5、保护社会公民所有的合法财产和劳动群众集体所有财产。维护一切经济单位和个人的正当合法经济权益。保障公民的人身权利、民主权利和其他权利。加强综合治理，处理好各种利益矛盾，维护社会稳定。</w:t>
      </w:r>
    </w:p>
    <w:p w14:paraId="2A972D68">
      <w:pPr>
        <w:ind w:firstLine="640" w:firstLineChars="200"/>
        <w:rPr>
          <w:rFonts w:hint="eastAsia" w:ascii="仿宋" w:hAnsi="仿宋" w:eastAsia="仿宋" w:cs="仿宋"/>
          <w:sz w:val="32"/>
          <w:szCs w:val="32"/>
        </w:rPr>
      </w:pPr>
      <w:r>
        <w:rPr>
          <w:rFonts w:hint="eastAsia" w:ascii="仿宋" w:hAnsi="仿宋" w:eastAsia="仿宋" w:cs="仿宋"/>
          <w:sz w:val="32"/>
          <w:szCs w:val="32"/>
        </w:rPr>
        <w:t>6、完成上级党委、政府下达的其他各项工作任务。</w:t>
      </w:r>
    </w:p>
    <w:p w14:paraId="68FBD781">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部</w:t>
      </w:r>
      <w:bookmarkStart w:id="22" w:name="_GoBack"/>
      <w:bookmarkEnd w:id="22"/>
      <w:r>
        <w:rPr>
          <w:rFonts w:hint="eastAsia" w:ascii="仿宋" w:hAnsi="仿宋" w:eastAsia="仿宋" w:cs="仿宋"/>
          <w:sz w:val="32"/>
          <w:szCs w:val="32"/>
        </w:rPr>
        <w:t>门机构设置</w:t>
      </w:r>
    </w:p>
    <w:p w14:paraId="3E61C905">
      <w:pPr>
        <w:ind w:firstLine="640" w:firstLineChars="200"/>
        <w:rPr>
          <w:rFonts w:hint="eastAsia" w:ascii="仿宋" w:hAnsi="仿宋" w:eastAsia="仿宋" w:cs="仿宋"/>
          <w:sz w:val="32"/>
          <w:szCs w:val="32"/>
        </w:rPr>
      </w:pPr>
      <w:r>
        <w:rPr>
          <w:rFonts w:hint="eastAsia" w:ascii="仿宋" w:hAnsi="仿宋" w:eastAsia="仿宋" w:cs="仿宋"/>
          <w:sz w:val="32"/>
          <w:szCs w:val="32"/>
        </w:rPr>
        <w:t>朔城区</w:t>
      </w:r>
      <w:r>
        <w:rPr>
          <w:rFonts w:hint="eastAsia" w:ascii="仿宋" w:hAnsi="仿宋" w:eastAsia="仿宋" w:cs="仿宋"/>
          <w:sz w:val="32"/>
          <w:szCs w:val="32"/>
          <w:lang w:eastAsia="zh-CN"/>
        </w:rPr>
        <w:t>窑子头乡</w:t>
      </w:r>
      <w:r>
        <w:rPr>
          <w:rFonts w:hint="eastAsia" w:ascii="仿宋" w:hAnsi="仿宋" w:eastAsia="仿宋" w:cs="仿宋"/>
          <w:sz w:val="32"/>
          <w:szCs w:val="32"/>
        </w:rPr>
        <w:t>人民政府是一级预算单位，无下属单</w:t>
      </w:r>
    </w:p>
    <w:p w14:paraId="6CFCAE82">
      <w:pPr>
        <w:ind w:firstLine="640" w:firstLineChars="200"/>
        <w:rPr>
          <w:rFonts w:hint="eastAsia" w:ascii="仿宋" w:hAnsi="仿宋" w:eastAsia="仿宋" w:cs="仿宋"/>
          <w:sz w:val="32"/>
          <w:szCs w:val="32"/>
        </w:rPr>
      </w:pPr>
      <w:r>
        <w:rPr>
          <w:rFonts w:hint="eastAsia" w:ascii="仿宋" w:hAnsi="仿宋" w:eastAsia="仿宋" w:cs="仿宋"/>
          <w:sz w:val="32"/>
          <w:szCs w:val="32"/>
        </w:rPr>
        <w:t>位。</w:t>
      </w:r>
    </w:p>
    <w:p w14:paraId="60E53254">
      <w:pPr>
        <w:ind w:firstLine="640" w:firstLineChars="200"/>
        <w:rPr>
          <w:rFonts w:hint="eastAsia" w:ascii="仿宋" w:hAnsi="仿宋" w:eastAsia="仿宋" w:cs="仿宋"/>
          <w:sz w:val="32"/>
          <w:szCs w:val="32"/>
        </w:rPr>
      </w:pPr>
      <w:r>
        <w:rPr>
          <w:rFonts w:hint="eastAsia" w:ascii="仿宋" w:hAnsi="仿宋" w:eastAsia="仿宋" w:cs="仿宋"/>
          <w:sz w:val="32"/>
          <w:szCs w:val="32"/>
        </w:rPr>
        <w:t>本单位内设8个科室。分别是:党政综合办公室、经济发展办公室、社会事务办公室、规划建设办公室、综合行政</w:t>
      </w:r>
    </w:p>
    <w:p w14:paraId="0D88DE8D">
      <w:pPr>
        <w:ind w:firstLine="640" w:firstLineChars="200"/>
        <w:rPr>
          <w:rFonts w:ascii="仿宋" w:hAnsi="仿宋" w:eastAsia="仿宋" w:cs="仿宋"/>
          <w:sz w:val="32"/>
          <w:szCs w:val="32"/>
        </w:rPr>
      </w:pPr>
      <w:r>
        <w:rPr>
          <w:rFonts w:hint="eastAsia" w:ascii="仿宋" w:hAnsi="仿宋" w:eastAsia="仿宋" w:cs="仿宋"/>
          <w:sz w:val="32"/>
          <w:szCs w:val="32"/>
        </w:rPr>
        <w:t xml:space="preserve">执法办公室、党群服务中心、综合便民服务中心、退役军人服务保障工作站。               </w:t>
      </w:r>
    </w:p>
    <w:p w14:paraId="75ACF1CA">
      <w:pPr>
        <w:jc w:val="center"/>
        <w:rPr>
          <w:rFonts w:ascii="黑体" w:hAnsi="黑体" w:eastAsia="黑体" w:cs="黑体"/>
          <w:snapToGrid w:val="0"/>
          <w:color w:val="000000"/>
          <w:spacing w:val="-4"/>
          <w:kern w:val="0"/>
          <w:sz w:val="32"/>
          <w:szCs w:val="32"/>
        </w:rPr>
      </w:pPr>
      <w:r>
        <w:rPr>
          <w:rFonts w:hint="eastAsia" w:ascii="黑体" w:hAnsi="黑体" w:eastAsia="黑体" w:cs="黑体"/>
          <w:snapToGrid w:val="0"/>
          <w:color w:val="000000"/>
          <w:spacing w:val="-4"/>
          <w:kern w:val="0"/>
          <w:sz w:val="32"/>
          <w:szCs w:val="32"/>
        </w:rPr>
        <w:t>第二部分202</w:t>
      </w:r>
      <w:r>
        <w:rPr>
          <w:rFonts w:hint="eastAsia" w:ascii="黑体" w:hAnsi="黑体" w:eastAsia="黑体" w:cs="黑体"/>
          <w:snapToGrid w:val="0"/>
          <w:color w:val="000000"/>
          <w:spacing w:val="-4"/>
          <w:kern w:val="0"/>
          <w:sz w:val="32"/>
          <w:szCs w:val="32"/>
          <w:lang w:val="en-US" w:eastAsia="zh-CN"/>
        </w:rPr>
        <w:t>1</w:t>
      </w:r>
      <w:r>
        <w:rPr>
          <w:rFonts w:ascii="黑体" w:hAnsi="黑体" w:eastAsia="黑体" w:cs="黑体"/>
          <w:snapToGrid w:val="0"/>
          <w:color w:val="000000"/>
          <w:spacing w:val="-4"/>
          <w:kern w:val="0"/>
          <w:sz w:val="32"/>
          <w:szCs w:val="32"/>
        </w:rPr>
        <w:t>年度部门决算表</w:t>
      </w:r>
      <w:bookmarkEnd w:id="2"/>
    </w:p>
    <w:p w14:paraId="5894BCED">
      <w:pPr>
        <w:rPr>
          <w:rFonts w:ascii="仿宋" w:hAnsi="仿宋" w:eastAsia="仿宋" w:cs="仿宋"/>
          <w:sz w:val="32"/>
          <w:szCs w:val="32"/>
        </w:rPr>
      </w:pPr>
      <w:r>
        <w:rPr>
          <w:rFonts w:hint="eastAsia" w:ascii="仿宋" w:hAnsi="仿宋" w:eastAsia="仿宋" w:cs="仿宋"/>
          <w:sz w:val="32"/>
          <w:szCs w:val="32"/>
        </w:rPr>
        <w:t>决算公开报表见附件：</w:t>
      </w:r>
    </w:p>
    <w:p w14:paraId="40B3DA4E">
      <w:pPr>
        <w:jc w:val="center"/>
        <w:rPr>
          <w:rFonts w:ascii="黑体" w:hAnsi="黑体" w:eastAsia="黑体" w:cs="黑体"/>
          <w:snapToGrid w:val="0"/>
          <w:color w:val="000000"/>
          <w:spacing w:val="-4"/>
          <w:kern w:val="0"/>
          <w:sz w:val="32"/>
          <w:szCs w:val="32"/>
        </w:rPr>
      </w:pPr>
      <w:bookmarkStart w:id="3" w:name="_Toc17336_WPSOffice_Level1"/>
      <w:bookmarkStart w:id="4" w:name="_Toc25884_WPSOffice_Level1"/>
      <w:r>
        <w:rPr>
          <w:rFonts w:ascii="黑体" w:hAnsi="黑体" w:eastAsia="黑体" w:cs="黑体"/>
          <w:snapToGrid w:val="0"/>
          <w:color w:val="000000"/>
          <w:spacing w:val="-4"/>
          <w:kern w:val="0"/>
          <w:sz w:val="32"/>
          <w:szCs w:val="32"/>
        </w:rPr>
        <w:t>第三部分</w:t>
      </w:r>
      <w:r>
        <w:rPr>
          <w:rFonts w:hint="eastAsia" w:ascii="黑体" w:hAnsi="黑体" w:eastAsia="黑体" w:cs="黑体"/>
          <w:snapToGrid w:val="0"/>
          <w:color w:val="000000"/>
          <w:spacing w:val="-4"/>
          <w:kern w:val="0"/>
          <w:sz w:val="32"/>
          <w:szCs w:val="32"/>
        </w:rPr>
        <w:t>202</w:t>
      </w:r>
      <w:r>
        <w:rPr>
          <w:rFonts w:hint="eastAsia" w:ascii="黑体" w:hAnsi="黑体" w:eastAsia="黑体" w:cs="黑体"/>
          <w:snapToGrid w:val="0"/>
          <w:color w:val="000000"/>
          <w:spacing w:val="-4"/>
          <w:kern w:val="0"/>
          <w:sz w:val="32"/>
          <w:szCs w:val="32"/>
          <w:lang w:val="en-US" w:eastAsia="zh-CN"/>
        </w:rPr>
        <w:t>1</w:t>
      </w:r>
      <w:r>
        <w:rPr>
          <w:rFonts w:ascii="黑体" w:hAnsi="黑体" w:eastAsia="黑体" w:cs="黑体"/>
          <w:snapToGrid w:val="0"/>
          <w:color w:val="000000"/>
          <w:spacing w:val="-4"/>
          <w:kern w:val="0"/>
          <w:sz w:val="32"/>
          <w:szCs w:val="32"/>
        </w:rPr>
        <w:t>年度部门决算情况说明</w:t>
      </w:r>
      <w:bookmarkEnd w:id="3"/>
      <w:bookmarkEnd w:id="4"/>
    </w:p>
    <w:p w14:paraId="1011E739">
      <w:pPr>
        <w:numPr>
          <w:ilvl w:val="0"/>
          <w:numId w:val="2"/>
        </w:numPr>
        <w:rPr>
          <w:rFonts w:ascii="仿宋" w:hAnsi="仿宋" w:eastAsia="仿宋" w:cs="仿宋"/>
          <w:sz w:val="32"/>
          <w:szCs w:val="32"/>
        </w:rPr>
      </w:pPr>
      <w:bookmarkStart w:id="5" w:name="_Toc1653_WPSOffice_Level2"/>
      <w:bookmarkStart w:id="6" w:name="_Toc22880_WPSOffice_Level2"/>
      <w:r>
        <w:rPr>
          <w:rFonts w:hint="eastAsia" w:ascii="楷体" w:hAnsi="楷体" w:eastAsia="楷体" w:cs="楷体"/>
          <w:spacing w:val="-3"/>
          <w:sz w:val="32"/>
          <w:szCs w:val="32"/>
        </w:rPr>
        <w:t>收入支出决算总体情况说明</w:t>
      </w:r>
      <w:bookmarkEnd w:id="5"/>
      <w:bookmarkEnd w:id="6"/>
    </w:p>
    <w:p w14:paraId="340D3106">
      <w:pPr>
        <w:spacing w:line="204" w:lineRule="auto"/>
        <w:ind w:firstLine="667"/>
        <w:jc w:val="left"/>
        <w:rPr>
          <w:rFonts w:hint="eastAsia" w:ascii="宋体" w:hAnsi="宋体" w:eastAsia="仿宋_GB2312" w:cs="Times New Roman"/>
          <w:sz w:val="32"/>
          <w:szCs w:val="32"/>
          <w:lang w:eastAsia="zh-CN"/>
        </w:rPr>
      </w:pPr>
      <w:bookmarkStart w:id="7" w:name="_Toc14383_WPSOffice_Level2"/>
      <w:r>
        <w:rPr>
          <w:rFonts w:hint="eastAsia" w:ascii="宋体" w:hAnsi="宋体" w:eastAsia="仿宋_GB2312" w:cs="Times New Roman"/>
          <w:sz w:val="32"/>
          <w:szCs w:val="32"/>
          <w:lang w:eastAsia="zh-CN"/>
        </w:rPr>
        <w:t>2021</w:t>
      </w:r>
      <w:r>
        <w:rPr>
          <w:rFonts w:hint="eastAsia" w:ascii="宋体" w:hAnsi="宋体" w:eastAsia="仿宋_GB2312" w:cs="Times New Roman"/>
          <w:sz w:val="32"/>
          <w:szCs w:val="32"/>
        </w:rPr>
        <w:t xml:space="preserve"> 年 度 收 入 总 计2144.23万元 、 支 出 总 计2144.23万元。与 </w:t>
      </w:r>
      <w:r>
        <w:rPr>
          <w:rFonts w:hint="eastAsia" w:ascii="宋体" w:hAnsi="宋体" w:eastAsia="仿宋_GB2312" w:cs="Times New Roman"/>
          <w:sz w:val="32"/>
          <w:szCs w:val="32"/>
          <w:lang w:eastAsia="zh-CN"/>
        </w:rPr>
        <w:t>2020</w:t>
      </w:r>
      <w:r>
        <w:rPr>
          <w:rFonts w:hint="eastAsia" w:ascii="宋体" w:hAnsi="宋体" w:eastAsia="仿宋_GB2312" w:cs="Times New Roman"/>
          <w:sz w:val="32"/>
          <w:szCs w:val="32"/>
        </w:rPr>
        <w:t>年相比,收入总计增加</w:t>
      </w:r>
      <w:r>
        <w:rPr>
          <w:rFonts w:hint="eastAsia" w:ascii="宋体" w:hAnsi="宋体" w:eastAsia="仿宋_GB2312" w:cs="Times New Roman"/>
          <w:sz w:val="32"/>
          <w:szCs w:val="32"/>
          <w:lang w:val="en-US" w:eastAsia="zh-CN"/>
        </w:rPr>
        <w:t>1074.89</w:t>
      </w:r>
      <w:r>
        <w:rPr>
          <w:rFonts w:hint="eastAsia" w:ascii="宋体" w:hAnsi="宋体" w:eastAsia="仿宋_GB2312" w:cs="Times New Roman"/>
          <w:sz w:val="32"/>
          <w:szCs w:val="32"/>
        </w:rPr>
        <w:t>万元，支出总计增加</w:t>
      </w:r>
      <w:r>
        <w:rPr>
          <w:rFonts w:hint="eastAsia" w:ascii="宋体" w:hAnsi="宋体" w:eastAsia="仿宋_GB2312" w:cs="Times New Roman"/>
          <w:sz w:val="32"/>
          <w:szCs w:val="32"/>
          <w:lang w:val="en-US" w:eastAsia="zh-CN"/>
        </w:rPr>
        <w:t>1074.89</w:t>
      </w:r>
      <w:r>
        <w:rPr>
          <w:rFonts w:hint="eastAsia" w:ascii="宋体" w:hAnsi="宋体" w:eastAsia="仿宋_GB2312" w:cs="Times New Roman"/>
          <w:sz w:val="32"/>
          <w:szCs w:val="32"/>
        </w:rPr>
        <w:t>万元。主要原因是：</w:t>
      </w:r>
      <w:r>
        <w:rPr>
          <w:rFonts w:hint="eastAsia" w:ascii="宋体" w:hAnsi="宋体" w:eastAsia="仿宋_GB2312" w:cs="Times New Roman"/>
          <w:sz w:val="32"/>
          <w:szCs w:val="32"/>
          <w:lang w:eastAsia="zh-CN"/>
        </w:rPr>
        <w:t>人居环境整治费用增加，厕所改造项目增加，产量大县奖补资金增加。</w:t>
      </w:r>
    </w:p>
    <w:p w14:paraId="2A051FBB">
      <w:pPr>
        <w:spacing w:line="204" w:lineRule="auto"/>
        <w:jc w:val="left"/>
        <w:rPr>
          <w:rFonts w:ascii="楷体" w:hAnsi="楷体" w:eastAsia="楷体" w:cs="楷体"/>
          <w:spacing w:val="-2"/>
          <w:sz w:val="32"/>
          <w:szCs w:val="32"/>
        </w:rPr>
      </w:pPr>
      <w:r>
        <w:rPr>
          <w:rFonts w:hint="eastAsia" w:ascii="楷体" w:hAnsi="楷体" w:eastAsia="楷体" w:cs="楷体"/>
          <w:spacing w:val="-3"/>
          <w:sz w:val="32"/>
          <w:szCs w:val="32"/>
        </w:rPr>
        <w:t>二、</w:t>
      </w:r>
      <w:r>
        <w:rPr>
          <w:rFonts w:ascii="楷体" w:hAnsi="楷体" w:eastAsia="楷体" w:cs="楷体"/>
          <w:spacing w:val="-3"/>
          <w:sz w:val="32"/>
          <w:szCs w:val="32"/>
        </w:rPr>
        <w:t>收入决算情况说明</w:t>
      </w:r>
      <w:bookmarkEnd w:id="7"/>
    </w:p>
    <w:p w14:paraId="0661D59A">
      <w:pPr>
        <w:spacing w:line="204" w:lineRule="auto"/>
        <w:ind w:firstLine="667"/>
        <w:jc w:val="left"/>
        <w:rPr>
          <w:rFonts w:ascii="仿宋" w:hAnsi="仿宋" w:eastAsia="仿宋" w:cs="仿宋"/>
          <w:spacing w:val="-4"/>
          <w:sz w:val="32"/>
          <w:szCs w:val="32"/>
        </w:rPr>
      </w:pPr>
      <w:bookmarkStart w:id="8" w:name="_Toc6621_WPSOffice_Level2"/>
      <w:bookmarkStart w:id="9" w:name="_Toc504_WPSOffice_Level2"/>
      <w:r>
        <w:rPr>
          <w:rFonts w:hint="eastAsia" w:ascii="宋体" w:hAnsi="宋体" w:eastAsia="仿宋_GB2312" w:cs="Times New Roman"/>
          <w:sz w:val="32"/>
          <w:szCs w:val="32"/>
        </w:rPr>
        <w:t>本年收入合计2144.23万元，其中：财政拨款收入2144.23万元;上级补助收入</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 xml:space="preserve">万元；事业收入 </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万元；经营收入</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 xml:space="preserve">万元；附属单位上缴收入 </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万元；其他收入</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万元。</w:t>
      </w:r>
    </w:p>
    <w:p w14:paraId="0479F232">
      <w:pPr>
        <w:spacing w:line="204" w:lineRule="auto"/>
        <w:jc w:val="left"/>
        <w:rPr>
          <w:rFonts w:ascii="楷体" w:hAnsi="楷体" w:eastAsia="楷体" w:cs="楷体"/>
          <w:spacing w:val="-3"/>
          <w:sz w:val="32"/>
          <w:szCs w:val="32"/>
        </w:rPr>
      </w:pPr>
      <w:r>
        <w:rPr>
          <w:rFonts w:hint="eastAsia" w:ascii="楷体" w:hAnsi="楷体" w:eastAsia="楷体" w:cs="楷体"/>
          <w:spacing w:val="-3"/>
          <w:sz w:val="32"/>
          <w:szCs w:val="32"/>
        </w:rPr>
        <w:t>三、支出决算情况说明</w:t>
      </w:r>
      <w:bookmarkEnd w:id="8"/>
      <w:bookmarkEnd w:id="9"/>
    </w:p>
    <w:p w14:paraId="4E96B1BD">
      <w:pPr>
        <w:ind w:firstLine="640" w:firstLineChars="200"/>
        <w:rPr>
          <w:rFonts w:ascii="仿宋" w:hAnsi="仿宋" w:eastAsia="仿宋" w:cs="仿宋"/>
          <w:sz w:val="32"/>
          <w:szCs w:val="32"/>
        </w:rPr>
      </w:pPr>
      <w:bookmarkStart w:id="10" w:name="_Toc8754_WPSOffice_Level2"/>
      <w:bookmarkStart w:id="11" w:name="_Toc32119_WPSOffice_Level2"/>
      <w:r>
        <w:rPr>
          <w:rFonts w:hint="eastAsia" w:ascii="宋体" w:hAnsi="宋体" w:eastAsia="仿宋_GB2312" w:cs="Times New Roman"/>
          <w:sz w:val="32"/>
          <w:szCs w:val="32"/>
        </w:rPr>
        <w:t>本年支出合计2144.23万元 ，其中：基本支出</w:t>
      </w:r>
      <w:r>
        <w:rPr>
          <w:rFonts w:hint="eastAsia" w:ascii="仿宋" w:hAnsi="仿宋" w:eastAsia="仿宋" w:cs="仿宋"/>
          <w:sz w:val="32"/>
          <w:szCs w:val="32"/>
        </w:rPr>
        <w:t>506.81</w:t>
      </w:r>
      <w:r>
        <w:rPr>
          <w:rFonts w:hint="eastAsia" w:ascii="宋体" w:hAnsi="宋体" w:eastAsia="仿宋_GB2312" w:cs="Times New Roman"/>
          <w:sz w:val="32"/>
          <w:szCs w:val="32"/>
        </w:rPr>
        <w:t>万元 ；项目支出1637.41万元；上缴上级支出</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万元，经营支出</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万元；对附属单位补助支出</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万元。</w:t>
      </w:r>
    </w:p>
    <w:p w14:paraId="4C27C718">
      <w:pPr>
        <w:spacing w:line="204" w:lineRule="auto"/>
        <w:jc w:val="left"/>
        <w:rPr>
          <w:rFonts w:ascii="楷体" w:hAnsi="楷体" w:eastAsia="楷体" w:cs="楷体"/>
          <w:spacing w:val="-3"/>
          <w:sz w:val="32"/>
          <w:szCs w:val="32"/>
        </w:rPr>
      </w:pPr>
      <w:r>
        <w:rPr>
          <w:rFonts w:hint="eastAsia" w:ascii="楷体" w:hAnsi="楷体" w:eastAsia="楷体" w:cs="楷体"/>
          <w:spacing w:val="-3"/>
          <w:sz w:val="32"/>
          <w:szCs w:val="32"/>
        </w:rPr>
        <w:t>四、财政拨款收入支出决算总体情况说明</w:t>
      </w:r>
      <w:bookmarkEnd w:id="10"/>
      <w:bookmarkEnd w:id="11"/>
    </w:p>
    <w:p w14:paraId="6AA7C4C5">
      <w:pPr>
        <w:spacing w:line="204" w:lineRule="auto"/>
        <w:ind w:firstLine="667"/>
        <w:jc w:val="left"/>
        <w:rPr>
          <w:rFonts w:ascii="宋体" w:hAnsi="宋体" w:eastAsia="仿宋_GB2312" w:cs="Times New Roman"/>
          <w:sz w:val="32"/>
          <w:szCs w:val="32"/>
        </w:rPr>
      </w:pPr>
      <w:bookmarkStart w:id="12" w:name="_Toc2892_WPSOffice_Level2"/>
      <w:bookmarkStart w:id="13" w:name="_Toc23250_WPSOffice_Level2"/>
      <w:r>
        <w:rPr>
          <w:rFonts w:hint="eastAsia" w:ascii="宋体" w:hAnsi="宋体" w:eastAsia="仿宋_GB2312" w:cs="Times New Roman"/>
          <w:sz w:val="32"/>
          <w:szCs w:val="32"/>
          <w:lang w:eastAsia="zh-CN"/>
        </w:rPr>
        <w:t>2021</w:t>
      </w:r>
      <w:r>
        <w:rPr>
          <w:rFonts w:hint="eastAsia" w:ascii="宋体" w:hAnsi="宋体" w:eastAsia="仿宋_GB2312" w:cs="Times New Roman"/>
          <w:sz w:val="32"/>
          <w:szCs w:val="32"/>
        </w:rPr>
        <w:t xml:space="preserve"> 年度财政拨款收入总计2144.23万元、支出总计2144.23万元。与 </w:t>
      </w:r>
      <w:r>
        <w:rPr>
          <w:rFonts w:hint="eastAsia" w:ascii="宋体" w:hAnsi="宋体" w:eastAsia="仿宋_GB2312" w:cs="Times New Roman"/>
          <w:sz w:val="32"/>
          <w:szCs w:val="32"/>
          <w:lang w:eastAsia="zh-CN"/>
        </w:rPr>
        <w:t>2020</w:t>
      </w:r>
      <w:r>
        <w:rPr>
          <w:rFonts w:hint="eastAsia" w:ascii="宋体" w:hAnsi="宋体" w:eastAsia="仿宋_GB2312" w:cs="Times New Roman"/>
          <w:sz w:val="32"/>
          <w:szCs w:val="32"/>
        </w:rPr>
        <w:t xml:space="preserve"> 年相比，财政拨款收入总计增加</w:t>
      </w:r>
      <w:r>
        <w:rPr>
          <w:rFonts w:hint="eastAsia" w:ascii="宋体" w:hAnsi="宋体" w:eastAsia="仿宋_GB2312" w:cs="Times New Roman"/>
          <w:sz w:val="32"/>
          <w:szCs w:val="32"/>
          <w:lang w:val="en-US" w:eastAsia="zh-CN"/>
        </w:rPr>
        <w:t>1074.89</w:t>
      </w:r>
      <w:r>
        <w:rPr>
          <w:rFonts w:hint="eastAsia" w:ascii="宋体" w:hAnsi="宋体" w:eastAsia="仿宋_GB2312" w:cs="Times New Roman"/>
          <w:sz w:val="32"/>
          <w:szCs w:val="32"/>
        </w:rPr>
        <w:t>万元，增长</w:t>
      </w:r>
      <w:r>
        <w:rPr>
          <w:rFonts w:hint="eastAsia" w:ascii="宋体" w:hAnsi="宋体" w:eastAsia="仿宋_GB2312" w:cs="Times New Roman"/>
          <w:sz w:val="32"/>
          <w:szCs w:val="32"/>
          <w:lang w:val="en-US" w:eastAsia="zh-CN"/>
        </w:rPr>
        <w:t>100.52</w:t>
      </w:r>
      <w:r>
        <w:rPr>
          <w:rFonts w:hint="eastAsia" w:ascii="宋体" w:hAnsi="宋体" w:eastAsia="仿宋_GB2312" w:cs="Times New Roman"/>
          <w:sz w:val="32"/>
          <w:szCs w:val="32"/>
        </w:rPr>
        <w:t>%。主要原因是：</w:t>
      </w:r>
      <w:r>
        <w:rPr>
          <w:rFonts w:hint="eastAsia" w:ascii="宋体" w:hAnsi="宋体" w:eastAsia="仿宋_GB2312" w:cs="Times New Roman"/>
          <w:sz w:val="32"/>
          <w:szCs w:val="32"/>
          <w:lang w:eastAsia="zh-CN"/>
        </w:rPr>
        <w:t>人居环境整治费用增加。</w:t>
      </w:r>
    </w:p>
    <w:p w14:paraId="501249EE">
      <w:pPr>
        <w:spacing w:line="204" w:lineRule="auto"/>
        <w:jc w:val="left"/>
        <w:rPr>
          <w:rFonts w:ascii="楷体" w:hAnsi="楷体" w:eastAsia="楷体" w:cs="楷体"/>
          <w:spacing w:val="-3"/>
          <w:sz w:val="32"/>
          <w:szCs w:val="32"/>
        </w:rPr>
      </w:pPr>
      <w:r>
        <w:rPr>
          <w:rFonts w:hint="eastAsia" w:ascii="楷体" w:hAnsi="楷体" w:eastAsia="楷体" w:cs="楷体"/>
          <w:spacing w:val="-3"/>
          <w:sz w:val="32"/>
          <w:szCs w:val="32"/>
        </w:rPr>
        <w:t>五、一般公共预算财政拨款支出决算情况说明</w:t>
      </w:r>
      <w:bookmarkEnd w:id="12"/>
      <w:bookmarkEnd w:id="13"/>
    </w:p>
    <w:p w14:paraId="3BFC1236">
      <w:pPr>
        <w:rPr>
          <w:rFonts w:ascii="宋体" w:hAnsi="宋体" w:eastAsia="仿宋_GB2312" w:cs="Times New Roman"/>
          <w:sz w:val="32"/>
          <w:szCs w:val="32"/>
        </w:rPr>
      </w:pPr>
      <w:r>
        <w:rPr>
          <w:rFonts w:hint="eastAsia" w:ascii="宋体" w:hAnsi="宋体" w:eastAsia="仿宋_GB2312" w:cs="Times New Roman"/>
          <w:sz w:val="32"/>
          <w:szCs w:val="32"/>
        </w:rPr>
        <w:t>1.财政拨款支出决算总体情况</w:t>
      </w:r>
    </w:p>
    <w:p w14:paraId="5A3D0078">
      <w:pPr>
        <w:spacing w:line="204" w:lineRule="auto"/>
        <w:ind w:firstLine="667"/>
        <w:jc w:val="left"/>
        <w:rPr>
          <w:rFonts w:ascii="宋体" w:hAnsi="宋体" w:eastAsia="仿宋_GB2312" w:cs="Times New Roman"/>
          <w:sz w:val="32"/>
          <w:szCs w:val="32"/>
        </w:rPr>
      </w:pPr>
      <w:r>
        <w:rPr>
          <w:rFonts w:hint="eastAsia" w:ascii="宋体" w:hAnsi="宋体" w:eastAsia="仿宋_GB2312" w:cs="Times New Roman"/>
          <w:sz w:val="32"/>
          <w:szCs w:val="32"/>
          <w:lang w:eastAsia="zh-CN"/>
        </w:rPr>
        <w:t>2021</w:t>
      </w:r>
      <w:r>
        <w:rPr>
          <w:rFonts w:hint="eastAsia" w:ascii="宋体" w:hAnsi="宋体" w:eastAsia="仿宋_GB2312" w:cs="Times New Roman"/>
          <w:sz w:val="32"/>
          <w:szCs w:val="32"/>
        </w:rPr>
        <w:t xml:space="preserve"> 年度财政拨款支出2144.23万元，与 </w:t>
      </w:r>
      <w:r>
        <w:rPr>
          <w:rFonts w:hint="eastAsia" w:ascii="宋体" w:hAnsi="宋体" w:eastAsia="仿宋_GB2312" w:cs="Times New Roman"/>
          <w:sz w:val="32"/>
          <w:szCs w:val="32"/>
          <w:lang w:eastAsia="zh-CN"/>
        </w:rPr>
        <w:t>2020</w:t>
      </w:r>
      <w:r>
        <w:rPr>
          <w:rFonts w:hint="eastAsia" w:ascii="宋体" w:hAnsi="宋体" w:eastAsia="仿宋_GB2312" w:cs="Times New Roman"/>
          <w:sz w:val="32"/>
          <w:szCs w:val="32"/>
        </w:rPr>
        <w:t xml:space="preserve"> 年相比，财政拨款支出增加</w:t>
      </w:r>
      <w:r>
        <w:rPr>
          <w:rFonts w:hint="eastAsia" w:ascii="宋体" w:hAnsi="宋体" w:eastAsia="仿宋_GB2312" w:cs="Times New Roman"/>
          <w:sz w:val="32"/>
          <w:szCs w:val="32"/>
          <w:lang w:val="en-US" w:eastAsia="zh-CN"/>
        </w:rPr>
        <w:t>1074.89</w:t>
      </w:r>
      <w:r>
        <w:rPr>
          <w:rFonts w:hint="eastAsia" w:ascii="宋体" w:hAnsi="宋体" w:eastAsia="仿宋_GB2312" w:cs="Times New Roman"/>
          <w:sz w:val="32"/>
          <w:szCs w:val="32"/>
        </w:rPr>
        <w:t>万元。主要原因是：</w:t>
      </w:r>
      <w:r>
        <w:rPr>
          <w:rFonts w:hint="eastAsia" w:ascii="宋体" w:hAnsi="宋体" w:eastAsia="仿宋_GB2312" w:cs="Times New Roman"/>
          <w:sz w:val="32"/>
          <w:szCs w:val="32"/>
          <w:lang w:eastAsia="zh-CN"/>
        </w:rPr>
        <w:t>人居环境整治费用增加。</w:t>
      </w:r>
    </w:p>
    <w:p w14:paraId="5FE84BF7">
      <w:pPr>
        <w:rPr>
          <w:rFonts w:ascii="宋体" w:hAnsi="宋体" w:eastAsia="仿宋_GB2312" w:cs="Times New Roman"/>
          <w:sz w:val="32"/>
          <w:szCs w:val="32"/>
          <w:highlight w:val="none"/>
        </w:rPr>
      </w:pPr>
      <w:r>
        <w:rPr>
          <w:rFonts w:hint="eastAsia" w:ascii="宋体" w:hAnsi="宋体" w:eastAsia="仿宋_GB2312" w:cs="Times New Roman"/>
          <w:sz w:val="32"/>
          <w:szCs w:val="32"/>
        </w:rPr>
        <w:t>2.财</w:t>
      </w:r>
      <w:r>
        <w:rPr>
          <w:rFonts w:hint="eastAsia" w:ascii="宋体" w:hAnsi="宋体" w:eastAsia="仿宋_GB2312" w:cs="Times New Roman"/>
          <w:sz w:val="32"/>
          <w:szCs w:val="32"/>
          <w:highlight w:val="none"/>
        </w:rPr>
        <w:t>政拨款支出决算结构情况</w:t>
      </w:r>
    </w:p>
    <w:p w14:paraId="56E5F8D7">
      <w:pPr>
        <w:spacing w:line="360" w:lineRule="auto"/>
        <w:ind w:firstLine="640" w:firstLineChars="200"/>
        <w:rPr>
          <w:rFonts w:hint="eastAsia" w:ascii="仿宋" w:hAnsi="仿宋" w:eastAsia="仿宋_GB2312" w:cs="仿宋"/>
          <w:color w:val="auto"/>
          <w:sz w:val="32"/>
          <w:szCs w:val="32"/>
          <w:highlight w:val="none"/>
          <w:lang w:eastAsia="zh-CN"/>
        </w:rPr>
      </w:pPr>
      <w:bookmarkStart w:id="14" w:name="_Toc1066_WPSOffice_Level2"/>
      <w:bookmarkStart w:id="15" w:name="_Toc27424_WPSOffice_Level2"/>
      <w:r>
        <w:rPr>
          <w:rFonts w:hint="eastAsia" w:ascii="宋体" w:hAnsi="宋体" w:eastAsia="仿宋_GB2312" w:cs="Times New Roman"/>
          <w:color w:val="auto"/>
          <w:sz w:val="32"/>
          <w:szCs w:val="32"/>
          <w:highlight w:val="none"/>
          <w:lang w:eastAsia="zh-CN"/>
        </w:rPr>
        <w:t>2021</w:t>
      </w:r>
      <w:r>
        <w:rPr>
          <w:rFonts w:hint="eastAsia" w:ascii="宋体" w:hAnsi="宋体" w:eastAsia="仿宋_GB2312" w:cs="Times New Roman"/>
          <w:color w:val="auto"/>
          <w:sz w:val="32"/>
          <w:szCs w:val="32"/>
          <w:highlight w:val="none"/>
        </w:rPr>
        <w:t xml:space="preserve"> 年度财政拨款支出2144.23万元，主要用于以下方面：</w:t>
      </w:r>
      <w:r>
        <w:rPr>
          <w:rFonts w:hint="eastAsia" w:ascii="宋体" w:hAnsi="宋体" w:eastAsia="仿宋_GB2312" w:cs="Times New Roman"/>
          <w:color w:val="auto"/>
          <w:sz w:val="32"/>
          <w:szCs w:val="32"/>
          <w:highlight w:val="none"/>
          <w:lang w:val="en-US" w:eastAsia="zh-CN"/>
        </w:rPr>
        <w:t>2010301行政运行</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418</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19.49</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w:t>
      </w:r>
      <w:r>
        <w:rPr>
          <w:rFonts w:hint="eastAsia" w:ascii="宋体" w:hAnsi="宋体" w:eastAsia="仿宋_GB2312" w:cs="Times New Roman"/>
          <w:color w:val="auto"/>
          <w:sz w:val="32"/>
          <w:szCs w:val="32"/>
          <w:highlight w:val="none"/>
          <w:lang w:val="en-US" w:eastAsia="zh-CN"/>
        </w:rPr>
        <w:t>2010302一般行政管理事务</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176</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8.2</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val="en-US" w:eastAsia="zh-CN"/>
        </w:rPr>
        <w:t>2040602一般行政管理事务</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0.8</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0.04</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val="en-US" w:eastAsia="zh-CN"/>
        </w:rPr>
        <w:t>2069999其他科学技术</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0.2</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0.01</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val="en-US" w:eastAsia="zh-CN"/>
        </w:rPr>
        <w:t>2070102一般行政管理事务</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0.4</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0.02</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val="en-US" w:eastAsia="zh-CN"/>
        </w:rPr>
        <w:t>2080801死亡抚恤</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26.3</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1.23</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w:t>
      </w:r>
      <w:r>
        <w:rPr>
          <w:rFonts w:hint="eastAsia" w:ascii="宋体" w:hAnsi="宋体" w:eastAsia="仿宋_GB2312" w:cs="Times New Roman"/>
          <w:color w:val="auto"/>
          <w:sz w:val="32"/>
          <w:szCs w:val="32"/>
          <w:highlight w:val="none"/>
          <w:lang w:val="en-US" w:eastAsia="zh-CN"/>
        </w:rPr>
        <w:t>2080802伤残抚恤</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2.66</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0.12</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val="en-US" w:eastAsia="zh-CN"/>
        </w:rPr>
        <w:t>，2080803</w:t>
      </w:r>
      <w:r>
        <w:rPr>
          <w:rFonts w:hint="eastAsia" w:ascii="宋体" w:hAnsi="宋体" w:eastAsia="仿宋_GB2312" w:cs="Times New Roman"/>
          <w:color w:val="auto"/>
          <w:sz w:val="32"/>
          <w:szCs w:val="32"/>
          <w:highlight w:val="none"/>
        </w:rPr>
        <w:t>科目</w:t>
      </w:r>
      <w:r>
        <w:rPr>
          <w:rFonts w:hint="eastAsia" w:ascii="宋体" w:hAnsi="宋体" w:eastAsia="仿宋_GB2312" w:cs="Times New Roman"/>
          <w:color w:val="auto"/>
          <w:sz w:val="32"/>
          <w:szCs w:val="32"/>
          <w:highlight w:val="none"/>
          <w:lang w:val="en-US" w:eastAsia="zh-CN"/>
        </w:rPr>
        <w:t>在乡复员、退伍军人生活补助</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73.77</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3.22</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w:t>
      </w:r>
      <w:r>
        <w:rPr>
          <w:rFonts w:hint="eastAsia" w:ascii="宋体" w:hAnsi="宋体" w:eastAsia="仿宋_GB2312" w:cs="Times New Roman"/>
          <w:color w:val="auto"/>
          <w:sz w:val="32"/>
          <w:szCs w:val="32"/>
          <w:highlight w:val="none"/>
          <w:lang w:val="en-US" w:eastAsia="zh-CN"/>
        </w:rPr>
        <w:t>2080805义务兵优待</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42.1</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1.71</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w:t>
      </w:r>
      <w:r>
        <w:rPr>
          <w:rFonts w:hint="eastAsia" w:ascii="宋体" w:hAnsi="宋体" w:eastAsia="仿宋_GB2312" w:cs="Times New Roman"/>
          <w:color w:val="auto"/>
          <w:sz w:val="32"/>
          <w:szCs w:val="32"/>
          <w:highlight w:val="none"/>
          <w:lang w:val="en-US" w:eastAsia="zh-CN"/>
        </w:rPr>
        <w:t>2080806农村籍退役士兵老年生活补助</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16.59</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0.77</w:t>
      </w:r>
      <w:r>
        <w:rPr>
          <w:rFonts w:hint="eastAsia" w:ascii="宋体" w:hAnsi="宋体" w:eastAsia="仿宋_GB2312" w:cs="Times New Roman"/>
          <w:color w:val="auto"/>
          <w:sz w:val="32"/>
          <w:szCs w:val="32"/>
          <w:highlight w:val="none"/>
        </w:rPr>
        <w:t>%；2082102农村特困人员救助供养支出134.41万元，占</w:t>
      </w:r>
      <w:r>
        <w:rPr>
          <w:rFonts w:hint="eastAsia" w:ascii="宋体" w:hAnsi="宋体" w:eastAsia="仿宋_GB2312" w:cs="Times New Roman"/>
          <w:color w:val="auto"/>
          <w:sz w:val="32"/>
          <w:szCs w:val="32"/>
          <w:highlight w:val="none"/>
          <w:lang w:val="en-US" w:eastAsia="zh-CN"/>
        </w:rPr>
        <w:t>6.3</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val="en-US" w:eastAsia="zh-CN"/>
        </w:rPr>
        <w:t>,</w:t>
      </w:r>
      <w:r>
        <w:rPr>
          <w:rFonts w:hint="eastAsia" w:ascii="宋体" w:hAnsi="宋体" w:eastAsia="仿宋_GB2312" w:cs="Times New Roman"/>
          <w:color w:val="auto"/>
          <w:sz w:val="32"/>
          <w:szCs w:val="32"/>
          <w:highlight w:val="none"/>
        </w:rPr>
        <w:t>2082502 其他农村生活救助支出</w:t>
      </w:r>
      <w:r>
        <w:rPr>
          <w:rFonts w:hint="eastAsia" w:ascii="宋体" w:hAnsi="宋体" w:eastAsia="仿宋_GB2312" w:cs="Times New Roman"/>
          <w:color w:val="auto"/>
          <w:sz w:val="32"/>
          <w:szCs w:val="32"/>
          <w:highlight w:val="none"/>
          <w:lang w:val="en-US" w:eastAsia="zh-CN"/>
        </w:rPr>
        <w:t>0.42</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0.1</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val="en-US" w:eastAsia="zh-CN"/>
        </w:rPr>
        <w:t>,2100302乡镇卫生院</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7.35</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0.34</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val="en-US" w:eastAsia="zh-CN"/>
        </w:rPr>
        <w:t>2100410突发公共卫生事件应急处理</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29.99</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1.4</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val="en-US" w:eastAsia="zh-CN"/>
        </w:rPr>
        <w:t>2130126</w:t>
      </w:r>
      <w:r>
        <w:rPr>
          <w:rFonts w:hint="eastAsia" w:ascii="宋体" w:hAnsi="宋体" w:eastAsia="仿宋_GB2312" w:cs="Times New Roman"/>
          <w:color w:val="auto"/>
          <w:sz w:val="32"/>
          <w:szCs w:val="32"/>
          <w:highlight w:val="none"/>
          <w:lang w:eastAsia="zh-CN"/>
        </w:rPr>
        <w:t>农村社会事业</w:t>
      </w:r>
      <w:r>
        <w:rPr>
          <w:rFonts w:hint="eastAsia" w:ascii="宋体" w:hAnsi="宋体" w:eastAsia="仿宋_GB2312" w:cs="Times New Roman"/>
          <w:color w:val="auto"/>
          <w:sz w:val="32"/>
          <w:szCs w:val="32"/>
          <w:highlight w:val="none"/>
        </w:rPr>
        <w:t>支出</w:t>
      </w:r>
      <w:r>
        <w:rPr>
          <w:rFonts w:hint="eastAsia" w:ascii="宋体" w:hAnsi="宋体" w:eastAsia="仿宋_GB2312" w:cs="Times New Roman"/>
          <w:color w:val="auto"/>
          <w:sz w:val="32"/>
          <w:szCs w:val="32"/>
          <w:highlight w:val="none"/>
          <w:lang w:val="en-US" w:eastAsia="zh-CN"/>
        </w:rPr>
        <w:t>49.33</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2.3</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w:t>
      </w:r>
      <w:r>
        <w:rPr>
          <w:rFonts w:hint="eastAsia" w:ascii="宋体" w:hAnsi="宋体" w:eastAsia="仿宋_GB2312" w:cs="Times New Roman"/>
          <w:color w:val="auto"/>
          <w:sz w:val="32"/>
          <w:szCs w:val="32"/>
          <w:highlight w:val="none"/>
          <w:lang w:val="en-US" w:eastAsia="zh-CN"/>
        </w:rPr>
        <w:t>2130199</w:t>
      </w:r>
      <w:r>
        <w:rPr>
          <w:rFonts w:hint="eastAsia" w:ascii="宋体" w:hAnsi="宋体" w:eastAsia="仿宋_GB2312" w:cs="Times New Roman"/>
          <w:color w:val="auto"/>
          <w:sz w:val="32"/>
          <w:szCs w:val="32"/>
          <w:highlight w:val="none"/>
        </w:rPr>
        <w:t>其他农业农村支出支出</w:t>
      </w:r>
      <w:r>
        <w:rPr>
          <w:rFonts w:hint="eastAsia" w:ascii="宋体" w:hAnsi="宋体" w:eastAsia="仿宋_GB2312" w:cs="Times New Roman"/>
          <w:color w:val="auto"/>
          <w:sz w:val="32"/>
          <w:szCs w:val="32"/>
          <w:highlight w:val="none"/>
          <w:lang w:val="en-US" w:eastAsia="zh-CN"/>
        </w:rPr>
        <w:t>245.88</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11.47</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val="en-US" w:eastAsia="zh-CN"/>
        </w:rPr>
        <w:t>2130701</w:t>
      </w:r>
      <w:r>
        <w:rPr>
          <w:rFonts w:hint="eastAsia" w:ascii="宋体" w:hAnsi="宋体" w:eastAsia="仿宋_GB2312" w:cs="Times New Roman"/>
          <w:color w:val="auto"/>
          <w:sz w:val="32"/>
          <w:szCs w:val="32"/>
          <w:highlight w:val="none"/>
        </w:rPr>
        <w:t>村级一事一议的补助支出</w:t>
      </w:r>
      <w:r>
        <w:rPr>
          <w:rFonts w:hint="eastAsia" w:ascii="宋体" w:hAnsi="宋体" w:eastAsia="仿宋_GB2312" w:cs="Times New Roman"/>
          <w:color w:val="auto"/>
          <w:sz w:val="32"/>
          <w:szCs w:val="32"/>
          <w:highlight w:val="none"/>
          <w:lang w:val="en-US" w:eastAsia="zh-CN"/>
        </w:rPr>
        <w:t>120</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6</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w:t>
      </w:r>
      <w:r>
        <w:rPr>
          <w:rFonts w:hint="eastAsia" w:ascii="宋体" w:hAnsi="宋体" w:eastAsia="仿宋_GB2312" w:cs="Times New Roman"/>
          <w:color w:val="auto"/>
          <w:sz w:val="32"/>
          <w:szCs w:val="32"/>
          <w:highlight w:val="none"/>
          <w:lang w:val="en-US" w:eastAsia="zh-CN"/>
        </w:rPr>
        <w:t>2130705</w:t>
      </w:r>
      <w:r>
        <w:rPr>
          <w:rFonts w:hint="eastAsia" w:ascii="宋体" w:hAnsi="宋体" w:eastAsia="仿宋_GB2312" w:cs="Times New Roman"/>
          <w:color w:val="auto"/>
          <w:sz w:val="32"/>
          <w:szCs w:val="32"/>
          <w:highlight w:val="none"/>
        </w:rPr>
        <w:t>村民委员会和村党支部的补助支出</w:t>
      </w:r>
      <w:r>
        <w:rPr>
          <w:rFonts w:hint="eastAsia" w:ascii="宋体" w:hAnsi="宋体" w:eastAsia="仿宋_GB2312" w:cs="Times New Roman"/>
          <w:color w:val="auto"/>
          <w:sz w:val="32"/>
          <w:szCs w:val="32"/>
          <w:highlight w:val="none"/>
          <w:lang w:val="en-US" w:eastAsia="zh-CN"/>
        </w:rPr>
        <w:t>6.94</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0.32</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w:t>
      </w:r>
      <w:r>
        <w:rPr>
          <w:rFonts w:hint="eastAsia" w:ascii="宋体" w:hAnsi="宋体" w:eastAsia="仿宋_GB2312" w:cs="Times New Roman"/>
          <w:color w:val="auto"/>
          <w:sz w:val="32"/>
          <w:szCs w:val="32"/>
          <w:highlight w:val="none"/>
          <w:lang w:val="en-US" w:eastAsia="zh-CN"/>
        </w:rPr>
        <w:t>2130706</w:t>
      </w:r>
      <w:r>
        <w:rPr>
          <w:rFonts w:hint="eastAsia" w:ascii="宋体" w:hAnsi="宋体" w:eastAsia="仿宋_GB2312" w:cs="Times New Roman"/>
          <w:color w:val="auto"/>
          <w:sz w:val="32"/>
          <w:szCs w:val="32"/>
          <w:highlight w:val="none"/>
        </w:rPr>
        <w:t>村集体经济组织的补助支出</w:t>
      </w:r>
      <w:r>
        <w:rPr>
          <w:rFonts w:hint="eastAsia" w:ascii="宋体" w:hAnsi="宋体" w:eastAsia="仿宋_GB2312" w:cs="Times New Roman"/>
          <w:color w:val="auto"/>
          <w:sz w:val="32"/>
          <w:szCs w:val="32"/>
          <w:highlight w:val="none"/>
          <w:lang w:val="en-US" w:eastAsia="zh-CN"/>
        </w:rPr>
        <w:t>792.25</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36.95</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val="en-US" w:eastAsia="zh-CN"/>
        </w:rPr>
        <w:t>2299999</w:t>
      </w:r>
      <w:r>
        <w:rPr>
          <w:rFonts w:hint="eastAsia" w:ascii="宋体" w:hAnsi="宋体" w:eastAsia="仿宋_GB2312" w:cs="Times New Roman"/>
          <w:color w:val="auto"/>
          <w:sz w:val="32"/>
          <w:szCs w:val="32"/>
          <w:highlight w:val="none"/>
        </w:rPr>
        <w:t>科目其他支出</w:t>
      </w:r>
      <w:r>
        <w:rPr>
          <w:rFonts w:hint="eastAsia" w:ascii="宋体" w:hAnsi="宋体" w:eastAsia="仿宋_GB2312" w:cs="Times New Roman"/>
          <w:color w:val="auto"/>
          <w:sz w:val="32"/>
          <w:szCs w:val="32"/>
          <w:highlight w:val="none"/>
          <w:lang w:val="en-US" w:eastAsia="zh-CN"/>
        </w:rPr>
        <w:t>0.24</w:t>
      </w:r>
      <w:r>
        <w:rPr>
          <w:rFonts w:hint="eastAsia" w:ascii="宋体" w:hAnsi="宋体" w:eastAsia="仿宋_GB2312" w:cs="Times New Roman"/>
          <w:color w:val="auto"/>
          <w:sz w:val="32"/>
          <w:szCs w:val="32"/>
          <w:highlight w:val="none"/>
        </w:rPr>
        <w:t>万元，占</w:t>
      </w:r>
      <w:r>
        <w:rPr>
          <w:rFonts w:hint="eastAsia" w:ascii="宋体" w:hAnsi="宋体" w:eastAsia="仿宋_GB2312" w:cs="Times New Roman"/>
          <w:color w:val="auto"/>
          <w:sz w:val="32"/>
          <w:szCs w:val="32"/>
          <w:highlight w:val="none"/>
          <w:lang w:val="en-US" w:eastAsia="zh-CN"/>
        </w:rPr>
        <w:t>0.01</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w:t>
      </w:r>
    </w:p>
    <w:p w14:paraId="7B42EBA7">
      <w:pPr>
        <w:rPr>
          <w:rFonts w:ascii="宋体" w:hAnsi="宋体" w:eastAsia="仿宋_GB2312" w:cs="Times New Roman"/>
          <w:color w:val="auto"/>
          <w:sz w:val="32"/>
          <w:szCs w:val="32"/>
          <w:highlight w:val="none"/>
        </w:rPr>
      </w:pPr>
      <w:r>
        <w:rPr>
          <w:rFonts w:hint="eastAsia" w:ascii="宋体" w:hAnsi="宋体" w:eastAsia="仿宋_GB2312" w:cs="Times New Roman"/>
          <w:color w:val="auto"/>
          <w:sz w:val="32"/>
          <w:szCs w:val="32"/>
          <w:highlight w:val="none"/>
        </w:rPr>
        <w:t>3.一般公共预算财政拨款支出决算具体情况。</w:t>
      </w:r>
    </w:p>
    <w:p w14:paraId="63F377E1">
      <w:pPr>
        <w:ind w:firstLine="640" w:firstLineChars="200"/>
        <w:rPr>
          <w:rFonts w:hint="default" w:ascii="仿宋" w:hAnsi="仿宋" w:eastAsia="仿宋_GB2312" w:cs="仿宋"/>
          <w:color w:val="auto"/>
          <w:spacing w:val="4"/>
          <w:sz w:val="32"/>
          <w:szCs w:val="32"/>
          <w:highlight w:val="none"/>
          <w:lang w:val="en-US" w:eastAsia="zh-CN"/>
        </w:rPr>
      </w:pPr>
      <w:r>
        <w:rPr>
          <w:rFonts w:hint="eastAsia" w:ascii="宋体" w:hAnsi="宋体" w:eastAsia="仿宋_GB2312" w:cs="Times New Roman"/>
          <w:color w:val="auto"/>
          <w:sz w:val="32"/>
          <w:szCs w:val="32"/>
          <w:highlight w:val="none"/>
          <w:lang w:eastAsia="zh-CN"/>
        </w:rPr>
        <w:t>2021</w:t>
      </w:r>
      <w:r>
        <w:rPr>
          <w:rFonts w:hint="eastAsia" w:ascii="宋体" w:hAnsi="宋体" w:eastAsia="仿宋_GB2312" w:cs="Times New Roman"/>
          <w:color w:val="auto"/>
          <w:sz w:val="32"/>
          <w:szCs w:val="32"/>
          <w:highlight w:val="none"/>
        </w:rPr>
        <w:t>年度一般公共预算财政拨款支出当年调整预算数2144.23万元，支出决算为2144.23万元，完成当年调整预算的</w:t>
      </w:r>
      <w:r>
        <w:rPr>
          <w:rFonts w:hint="eastAsia" w:ascii="宋体" w:hAnsi="宋体" w:eastAsia="仿宋_GB2312" w:cs="Times New Roman"/>
          <w:color w:val="auto"/>
          <w:sz w:val="32"/>
          <w:szCs w:val="32"/>
          <w:highlight w:val="none"/>
          <w:lang w:val="en-US" w:eastAsia="zh-CN"/>
        </w:rPr>
        <w:t>100</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完成当年调整预算的</w:t>
      </w:r>
      <w:r>
        <w:rPr>
          <w:rFonts w:hint="eastAsia" w:ascii="宋体" w:hAnsi="宋体" w:eastAsia="仿宋_GB2312" w:cs="Times New Roman"/>
          <w:color w:val="auto"/>
          <w:sz w:val="32"/>
          <w:szCs w:val="32"/>
          <w:highlight w:val="none"/>
          <w:lang w:val="en-US" w:eastAsia="zh-CN"/>
        </w:rPr>
        <w:t>100%。</w:t>
      </w:r>
    </w:p>
    <w:p w14:paraId="1B27ABF6">
      <w:pPr>
        <w:spacing w:line="204" w:lineRule="auto"/>
        <w:jc w:val="left"/>
        <w:rPr>
          <w:rFonts w:ascii="楷体" w:hAnsi="楷体" w:eastAsia="楷体" w:cs="楷体"/>
          <w:color w:val="auto"/>
          <w:spacing w:val="-3"/>
          <w:sz w:val="32"/>
          <w:szCs w:val="32"/>
          <w:highlight w:val="none"/>
        </w:rPr>
      </w:pPr>
      <w:r>
        <w:rPr>
          <w:rFonts w:hint="eastAsia" w:ascii="楷体" w:hAnsi="楷体" w:eastAsia="楷体" w:cs="楷体"/>
          <w:color w:val="auto"/>
          <w:spacing w:val="-3"/>
          <w:sz w:val="32"/>
          <w:szCs w:val="32"/>
          <w:highlight w:val="none"/>
        </w:rPr>
        <w:t>六、一般公共预算财政拨款基本支出决算情况说明</w:t>
      </w:r>
      <w:bookmarkEnd w:id="14"/>
      <w:bookmarkEnd w:id="15"/>
    </w:p>
    <w:p w14:paraId="5B663B61">
      <w:pPr>
        <w:ind w:firstLine="640" w:firstLineChars="200"/>
        <w:rPr>
          <w:rFonts w:ascii="宋体" w:hAnsi="宋体" w:eastAsia="仿宋_GB2312" w:cs="Times New Roman"/>
          <w:color w:val="auto"/>
          <w:sz w:val="32"/>
          <w:szCs w:val="32"/>
          <w:highlight w:val="none"/>
        </w:rPr>
      </w:pPr>
      <w:bookmarkStart w:id="16" w:name="_Toc28951_WPSOffice_Level2"/>
      <w:bookmarkStart w:id="17" w:name="_Toc21993_WPSOffice_Level2"/>
      <w:r>
        <w:rPr>
          <w:rFonts w:hint="eastAsia" w:ascii="宋体" w:hAnsi="宋体" w:eastAsia="仿宋_GB2312" w:cs="Times New Roman"/>
          <w:color w:val="auto"/>
          <w:sz w:val="32"/>
          <w:szCs w:val="32"/>
          <w:highlight w:val="none"/>
          <w:lang w:eastAsia="zh-CN"/>
        </w:rPr>
        <w:t>2021</w:t>
      </w:r>
      <w:r>
        <w:rPr>
          <w:rFonts w:hint="eastAsia" w:ascii="宋体" w:hAnsi="宋体" w:eastAsia="仿宋_GB2312" w:cs="Times New Roman"/>
          <w:color w:val="auto"/>
          <w:sz w:val="32"/>
          <w:szCs w:val="32"/>
          <w:highlight w:val="none"/>
        </w:rPr>
        <w:t xml:space="preserve"> 年度财政拨款基本支出2144.23万元，其中：人员经费869.85万元，主要包括工资福利支出</w:t>
      </w:r>
      <w:r>
        <w:rPr>
          <w:rFonts w:hint="eastAsia" w:ascii="仿宋" w:hAnsi="仿宋" w:eastAsia="仿宋" w:cs="仿宋"/>
          <w:color w:val="auto"/>
          <w:spacing w:val="4"/>
          <w:sz w:val="32"/>
          <w:szCs w:val="32"/>
          <w:highlight w:val="none"/>
        </w:rPr>
        <w:t>555.74</w:t>
      </w:r>
      <w:r>
        <w:rPr>
          <w:rFonts w:hint="eastAsia" w:ascii="宋体" w:hAnsi="宋体" w:eastAsia="仿宋_GB2312" w:cs="Times New Roman"/>
          <w:color w:val="auto"/>
          <w:sz w:val="32"/>
          <w:szCs w:val="32"/>
          <w:highlight w:val="none"/>
        </w:rPr>
        <w:t>万元和对个人和家庭的补助314.11万元；公用经费</w:t>
      </w:r>
      <w:r>
        <w:rPr>
          <w:rFonts w:hint="eastAsia" w:ascii="仿宋" w:hAnsi="仿宋" w:eastAsia="仿宋" w:cs="仿宋"/>
          <w:color w:val="auto"/>
          <w:spacing w:val="4"/>
          <w:sz w:val="32"/>
          <w:szCs w:val="32"/>
          <w:highlight w:val="none"/>
        </w:rPr>
        <w:t>1274.38</w:t>
      </w:r>
      <w:r>
        <w:rPr>
          <w:rFonts w:hint="eastAsia" w:ascii="宋体" w:hAnsi="宋体" w:eastAsia="仿宋_GB2312" w:cs="Times New Roman"/>
          <w:color w:val="auto"/>
          <w:sz w:val="32"/>
          <w:szCs w:val="32"/>
          <w:highlight w:val="none"/>
        </w:rPr>
        <w:t>万元，主要包括商品和服务支出308.82万元和资本性支出</w:t>
      </w:r>
      <w:r>
        <w:rPr>
          <w:rFonts w:hint="eastAsia" w:ascii="仿宋" w:hAnsi="仿宋" w:eastAsia="仿宋" w:cs="仿宋"/>
          <w:color w:val="auto"/>
          <w:spacing w:val="4"/>
          <w:sz w:val="32"/>
          <w:szCs w:val="32"/>
          <w:highlight w:val="none"/>
          <w:lang w:val="en-US" w:eastAsia="zh-CN"/>
        </w:rPr>
        <w:t>965.56</w:t>
      </w:r>
      <w:r>
        <w:rPr>
          <w:rFonts w:hint="eastAsia" w:ascii="宋体" w:hAnsi="宋体" w:eastAsia="仿宋_GB2312" w:cs="Times New Roman"/>
          <w:color w:val="auto"/>
          <w:sz w:val="32"/>
          <w:szCs w:val="32"/>
          <w:highlight w:val="none"/>
        </w:rPr>
        <w:t>万元。</w:t>
      </w:r>
    </w:p>
    <w:p w14:paraId="4B00671F">
      <w:pPr>
        <w:spacing w:line="204" w:lineRule="auto"/>
        <w:jc w:val="left"/>
        <w:rPr>
          <w:rFonts w:ascii="楷体" w:hAnsi="楷体" w:eastAsia="楷体" w:cs="楷体"/>
          <w:color w:val="auto"/>
          <w:spacing w:val="-3"/>
          <w:sz w:val="32"/>
          <w:szCs w:val="32"/>
          <w:highlight w:val="none"/>
        </w:rPr>
      </w:pPr>
      <w:r>
        <w:rPr>
          <w:rFonts w:hint="eastAsia" w:ascii="楷体" w:hAnsi="楷体" w:eastAsia="楷体" w:cs="楷体"/>
          <w:color w:val="auto"/>
          <w:spacing w:val="-3"/>
          <w:sz w:val="32"/>
          <w:szCs w:val="32"/>
          <w:highlight w:val="none"/>
        </w:rPr>
        <w:t>七、一般公共预算财政拨款“三公”经费支出决算情况说明</w:t>
      </w:r>
      <w:bookmarkEnd w:id="16"/>
      <w:bookmarkEnd w:id="17"/>
    </w:p>
    <w:p w14:paraId="1EC117BA">
      <w:pPr>
        <w:ind w:firstLine="640" w:firstLineChars="200"/>
        <w:rPr>
          <w:rFonts w:ascii="宋体" w:hAnsi="宋体" w:eastAsia="仿宋_GB2312" w:cs="Times New Roman"/>
          <w:color w:val="auto"/>
          <w:sz w:val="32"/>
          <w:szCs w:val="32"/>
          <w:highlight w:val="none"/>
        </w:rPr>
      </w:pPr>
      <w:bookmarkStart w:id="18" w:name="_Toc10214_WPSOffice_Level2"/>
      <w:bookmarkStart w:id="19" w:name="_Toc9131_WPSOffice_Level2"/>
      <w:r>
        <w:rPr>
          <w:rFonts w:hint="eastAsia" w:ascii="宋体" w:hAnsi="宋体" w:eastAsia="仿宋_GB2312" w:cs="Times New Roman"/>
          <w:color w:val="auto"/>
          <w:sz w:val="32"/>
          <w:szCs w:val="32"/>
          <w:highlight w:val="none"/>
          <w:lang w:eastAsia="zh-CN"/>
        </w:rPr>
        <w:t>2021</w:t>
      </w:r>
      <w:r>
        <w:rPr>
          <w:rFonts w:hint="eastAsia" w:ascii="宋体" w:hAnsi="宋体" w:eastAsia="仿宋_GB2312" w:cs="Times New Roman"/>
          <w:color w:val="auto"/>
          <w:sz w:val="32"/>
          <w:szCs w:val="32"/>
          <w:highlight w:val="none"/>
        </w:rPr>
        <w:t>年“三公”经费一般公共</w:t>
      </w:r>
      <w:r>
        <w:rPr>
          <w:rFonts w:hint="eastAsia" w:ascii="宋体" w:hAnsi="宋体" w:eastAsia="仿宋_GB2312" w:cs="Times New Roman"/>
          <w:color w:val="auto"/>
          <w:sz w:val="32"/>
          <w:szCs w:val="32"/>
          <w:highlight w:val="none"/>
          <w:lang w:eastAsia="zh-CN"/>
        </w:rPr>
        <w:t>预算</w:t>
      </w:r>
      <w:r>
        <w:rPr>
          <w:rFonts w:hint="eastAsia" w:ascii="宋体" w:hAnsi="宋体" w:eastAsia="仿宋_GB2312" w:cs="Times New Roman"/>
          <w:color w:val="auto"/>
          <w:sz w:val="32"/>
          <w:szCs w:val="32"/>
          <w:highlight w:val="none"/>
        </w:rPr>
        <w:t>财政拨款支出</w:t>
      </w:r>
      <w:r>
        <w:rPr>
          <w:rFonts w:hint="eastAsia" w:ascii="宋体" w:hAnsi="宋体" w:eastAsia="仿宋_GB2312" w:cs="Times New Roman"/>
          <w:color w:val="auto"/>
          <w:sz w:val="32"/>
          <w:szCs w:val="32"/>
          <w:highlight w:val="none"/>
          <w:lang w:eastAsia="zh-CN"/>
        </w:rPr>
        <w:t>预算数</w:t>
      </w:r>
      <w:r>
        <w:rPr>
          <w:rFonts w:hint="eastAsia" w:ascii="仿宋" w:hAnsi="仿宋" w:eastAsia="仿宋" w:cs="仿宋"/>
          <w:color w:val="auto"/>
          <w:spacing w:val="4"/>
          <w:sz w:val="32"/>
          <w:szCs w:val="32"/>
          <w:highlight w:val="none"/>
          <w:lang w:val="en-US" w:eastAsia="zh-CN"/>
        </w:rPr>
        <w:t>0</w:t>
      </w:r>
      <w:r>
        <w:rPr>
          <w:rFonts w:hint="eastAsia" w:ascii="宋体" w:hAnsi="宋体" w:eastAsia="仿宋_GB2312" w:cs="Times New Roman"/>
          <w:color w:val="auto"/>
          <w:sz w:val="32"/>
          <w:szCs w:val="32"/>
          <w:highlight w:val="none"/>
        </w:rPr>
        <w:t>万元，</w:t>
      </w:r>
      <w:r>
        <w:rPr>
          <w:rFonts w:hint="eastAsia" w:ascii="宋体" w:hAnsi="宋体" w:eastAsia="仿宋_GB2312" w:cs="Times New Roman"/>
          <w:color w:val="auto"/>
          <w:sz w:val="32"/>
          <w:szCs w:val="32"/>
          <w:highlight w:val="none"/>
          <w:lang w:eastAsia="zh-CN"/>
        </w:rPr>
        <w:t>2021</w:t>
      </w:r>
      <w:r>
        <w:rPr>
          <w:rFonts w:hint="eastAsia" w:ascii="宋体" w:hAnsi="宋体" w:eastAsia="仿宋_GB2312" w:cs="Times New Roman"/>
          <w:color w:val="auto"/>
          <w:sz w:val="32"/>
          <w:szCs w:val="32"/>
          <w:highlight w:val="none"/>
        </w:rPr>
        <w:t>年“三公”经费一般公共</w:t>
      </w:r>
      <w:r>
        <w:rPr>
          <w:rFonts w:hint="eastAsia" w:ascii="宋体" w:hAnsi="宋体" w:eastAsia="仿宋_GB2312" w:cs="Times New Roman"/>
          <w:color w:val="auto"/>
          <w:sz w:val="32"/>
          <w:szCs w:val="32"/>
          <w:highlight w:val="none"/>
          <w:lang w:eastAsia="zh-CN"/>
        </w:rPr>
        <w:t>预算</w:t>
      </w:r>
      <w:r>
        <w:rPr>
          <w:rFonts w:hint="eastAsia" w:ascii="宋体" w:hAnsi="宋体" w:eastAsia="仿宋_GB2312" w:cs="Times New Roman"/>
          <w:color w:val="auto"/>
          <w:sz w:val="32"/>
          <w:szCs w:val="32"/>
          <w:highlight w:val="none"/>
        </w:rPr>
        <w:t>财政拨款支出决算</w:t>
      </w:r>
      <w:r>
        <w:rPr>
          <w:rFonts w:hint="eastAsia" w:ascii="宋体" w:hAnsi="宋体" w:eastAsia="仿宋_GB2312" w:cs="Times New Roman"/>
          <w:color w:val="auto"/>
          <w:sz w:val="32"/>
          <w:szCs w:val="32"/>
          <w:highlight w:val="none"/>
          <w:lang w:eastAsia="zh-CN"/>
        </w:rPr>
        <w:t>数</w:t>
      </w:r>
      <w:r>
        <w:rPr>
          <w:rFonts w:hint="eastAsia" w:ascii="仿宋" w:hAnsi="仿宋" w:eastAsia="仿宋" w:cs="仿宋"/>
          <w:color w:val="auto"/>
          <w:spacing w:val="4"/>
          <w:sz w:val="32"/>
          <w:szCs w:val="32"/>
          <w:highlight w:val="none"/>
          <w:lang w:val="en-US" w:eastAsia="zh-CN"/>
        </w:rPr>
        <w:t>0</w:t>
      </w:r>
      <w:r>
        <w:rPr>
          <w:rFonts w:hint="eastAsia" w:ascii="宋体" w:hAnsi="宋体" w:eastAsia="仿宋_GB2312" w:cs="Times New Roman"/>
          <w:color w:val="auto"/>
          <w:sz w:val="32"/>
          <w:szCs w:val="32"/>
          <w:highlight w:val="none"/>
        </w:rPr>
        <w:t>万元，</w:t>
      </w:r>
      <w:r>
        <w:rPr>
          <w:rFonts w:hint="eastAsia" w:ascii="宋体" w:hAnsi="宋体" w:eastAsia="仿宋_GB2312" w:cs="Times New Roman"/>
          <w:color w:val="auto"/>
          <w:sz w:val="32"/>
          <w:szCs w:val="32"/>
          <w:highlight w:val="none"/>
          <w:lang w:eastAsia="zh-CN"/>
        </w:rPr>
        <w:t>与同年预算相比无变化；</w:t>
      </w:r>
      <w:r>
        <w:rPr>
          <w:rFonts w:hint="eastAsia" w:ascii="宋体" w:hAnsi="宋体" w:eastAsia="仿宋_GB2312" w:cs="Times New Roman"/>
          <w:color w:val="auto"/>
          <w:sz w:val="32"/>
          <w:szCs w:val="32"/>
          <w:highlight w:val="none"/>
        </w:rPr>
        <w:t>比</w:t>
      </w:r>
      <w:r>
        <w:rPr>
          <w:rFonts w:hint="eastAsia" w:ascii="宋体" w:hAnsi="宋体" w:eastAsia="仿宋_GB2312" w:cs="Times New Roman"/>
          <w:color w:val="auto"/>
          <w:sz w:val="32"/>
          <w:szCs w:val="32"/>
          <w:highlight w:val="none"/>
          <w:lang w:eastAsia="zh-CN"/>
        </w:rPr>
        <w:t>2020</w:t>
      </w:r>
      <w:r>
        <w:rPr>
          <w:rFonts w:hint="eastAsia" w:ascii="宋体" w:hAnsi="宋体" w:eastAsia="仿宋_GB2312" w:cs="Times New Roman"/>
          <w:color w:val="auto"/>
          <w:sz w:val="32"/>
          <w:szCs w:val="32"/>
          <w:highlight w:val="none"/>
        </w:rPr>
        <w:t>年</w:t>
      </w:r>
      <w:r>
        <w:rPr>
          <w:rFonts w:hint="eastAsia" w:ascii="宋体" w:hAnsi="宋体" w:eastAsia="仿宋_GB2312" w:cs="Times New Roman"/>
          <w:color w:val="auto"/>
          <w:sz w:val="32"/>
          <w:szCs w:val="32"/>
          <w:highlight w:val="none"/>
          <w:lang w:eastAsia="zh-CN"/>
        </w:rPr>
        <w:t>决算数</w:t>
      </w:r>
      <w:r>
        <w:rPr>
          <w:rFonts w:hint="eastAsia" w:ascii="宋体" w:hAnsi="宋体" w:eastAsia="仿宋_GB2312" w:cs="Times New Roman"/>
          <w:color w:val="auto"/>
          <w:sz w:val="32"/>
          <w:szCs w:val="32"/>
          <w:highlight w:val="none"/>
          <w:lang w:val="en-US" w:eastAsia="zh-CN"/>
        </w:rPr>
        <w:t>0</w:t>
      </w:r>
      <w:r>
        <w:rPr>
          <w:rFonts w:hint="eastAsia" w:ascii="宋体" w:hAnsi="宋体" w:eastAsia="仿宋_GB2312" w:cs="Times New Roman"/>
          <w:color w:val="auto"/>
          <w:sz w:val="32"/>
          <w:szCs w:val="32"/>
          <w:highlight w:val="none"/>
        </w:rPr>
        <w:t>万元</w:t>
      </w:r>
      <w:r>
        <w:rPr>
          <w:rFonts w:hint="eastAsia" w:ascii="宋体" w:hAnsi="宋体" w:eastAsia="仿宋_GB2312" w:cs="Times New Roman"/>
          <w:color w:val="auto"/>
          <w:sz w:val="32"/>
          <w:szCs w:val="32"/>
          <w:highlight w:val="none"/>
          <w:lang w:eastAsia="zh-CN"/>
        </w:rPr>
        <w:t>，原因是</w:t>
      </w:r>
      <w:r>
        <w:rPr>
          <w:rFonts w:hint="eastAsia" w:ascii="宋体" w:hAnsi="宋体" w:eastAsia="仿宋_GB2312" w:cs="Times New Roman"/>
          <w:color w:val="auto"/>
          <w:sz w:val="32"/>
          <w:szCs w:val="32"/>
          <w:highlight w:val="none"/>
          <w:lang w:val="en-US" w:eastAsia="zh-CN"/>
        </w:rPr>
        <w:t>厉行节俭，只减不增</w:t>
      </w:r>
      <w:r>
        <w:rPr>
          <w:rFonts w:hint="eastAsia" w:ascii="宋体" w:hAnsi="宋体" w:eastAsia="仿宋_GB2312" w:cs="Times New Roman"/>
          <w:color w:val="auto"/>
          <w:sz w:val="32"/>
          <w:szCs w:val="32"/>
          <w:highlight w:val="none"/>
        </w:rPr>
        <w:t>。其中：因公出国（境）费用</w:t>
      </w:r>
      <w:r>
        <w:rPr>
          <w:rFonts w:hint="eastAsia" w:ascii="宋体" w:hAnsi="宋体" w:eastAsia="仿宋_GB2312" w:cs="Times New Roman"/>
          <w:color w:val="auto"/>
          <w:sz w:val="32"/>
          <w:szCs w:val="32"/>
          <w:highlight w:val="none"/>
          <w:lang w:val="en-US" w:eastAsia="zh-CN"/>
        </w:rPr>
        <w:t>0</w:t>
      </w:r>
      <w:r>
        <w:rPr>
          <w:rFonts w:hint="eastAsia" w:ascii="宋体" w:hAnsi="宋体" w:eastAsia="仿宋_GB2312" w:cs="Times New Roman"/>
          <w:color w:val="auto"/>
          <w:sz w:val="32"/>
          <w:szCs w:val="32"/>
          <w:highlight w:val="none"/>
        </w:rPr>
        <w:t>万元，比上年增加</w:t>
      </w:r>
      <w:r>
        <w:rPr>
          <w:rFonts w:hint="eastAsia" w:ascii="仿宋" w:hAnsi="仿宋" w:eastAsia="仿宋" w:cs="仿宋"/>
          <w:color w:val="auto"/>
          <w:spacing w:val="4"/>
          <w:sz w:val="32"/>
          <w:szCs w:val="32"/>
          <w:highlight w:val="none"/>
          <w:lang w:val="en-US" w:eastAsia="zh-CN"/>
        </w:rPr>
        <w:t>0</w:t>
      </w:r>
      <w:r>
        <w:rPr>
          <w:rFonts w:hint="eastAsia" w:ascii="宋体" w:hAnsi="宋体" w:eastAsia="仿宋_GB2312" w:cs="Times New Roman"/>
          <w:color w:val="auto"/>
          <w:sz w:val="32"/>
          <w:szCs w:val="32"/>
          <w:highlight w:val="none"/>
        </w:rPr>
        <w:t>万元；公务接待费</w:t>
      </w:r>
      <w:r>
        <w:rPr>
          <w:rFonts w:hint="eastAsia" w:ascii="宋体" w:hAnsi="宋体" w:eastAsia="仿宋_GB2312" w:cs="Times New Roman"/>
          <w:color w:val="auto"/>
          <w:sz w:val="32"/>
          <w:szCs w:val="32"/>
          <w:highlight w:val="none"/>
          <w:lang w:val="en-US" w:eastAsia="zh-CN"/>
        </w:rPr>
        <w:t>0</w:t>
      </w:r>
      <w:r>
        <w:rPr>
          <w:rFonts w:hint="eastAsia" w:ascii="宋体" w:hAnsi="宋体" w:eastAsia="仿宋_GB2312" w:cs="Times New Roman"/>
          <w:color w:val="auto"/>
          <w:sz w:val="32"/>
          <w:szCs w:val="32"/>
          <w:highlight w:val="none"/>
        </w:rPr>
        <w:t>万元，比上年增加</w:t>
      </w:r>
      <w:r>
        <w:rPr>
          <w:rFonts w:hint="eastAsia" w:ascii="仿宋" w:hAnsi="仿宋" w:eastAsia="仿宋" w:cs="仿宋"/>
          <w:color w:val="auto"/>
          <w:spacing w:val="4"/>
          <w:sz w:val="32"/>
          <w:szCs w:val="32"/>
          <w:highlight w:val="none"/>
          <w:lang w:val="en-US" w:eastAsia="zh-CN"/>
        </w:rPr>
        <w:t>0</w:t>
      </w:r>
      <w:r>
        <w:rPr>
          <w:rFonts w:hint="eastAsia" w:ascii="宋体" w:hAnsi="宋体" w:eastAsia="仿宋_GB2312" w:cs="Times New Roman"/>
          <w:color w:val="auto"/>
          <w:sz w:val="32"/>
          <w:szCs w:val="32"/>
          <w:highlight w:val="none"/>
        </w:rPr>
        <w:t>万元；公务用车运行维护费</w:t>
      </w:r>
      <w:r>
        <w:rPr>
          <w:rFonts w:hint="eastAsia" w:ascii="仿宋" w:hAnsi="仿宋" w:eastAsia="仿宋" w:cs="仿宋"/>
          <w:color w:val="auto"/>
          <w:spacing w:val="4"/>
          <w:sz w:val="32"/>
          <w:szCs w:val="32"/>
          <w:highlight w:val="none"/>
          <w:lang w:val="en-US" w:eastAsia="zh-CN"/>
        </w:rPr>
        <w:t>0</w:t>
      </w:r>
      <w:r>
        <w:rPr>
          <w:rFonts w:hint="eastAsia" w:ascii="宋体" w:hAnsi="宋体" w:eastAsia="仿宋_GB2312" w:cs="Times New Roman"/>
          <w:color w:val="auto"/>
          <w:sz w:val="32"/>
          <w:szCs w:val="32"/>
          <w:highlight w:val="none"/>
        </w:rPr>
        <w:t>万元，比上年增加</w:t>
      </w:r>
      <w:r>
        <w:rPr>
          <w:rFonts w:hint="eastAsia" w:ascii="仿宋" w:hAnsi="仿宋" w:eastAsia="仿宋" w:cs="仿宋"/>
          <w:color w:val="auto"/>
          <w:spacing w:val="4"/>
          <w:sz w:val="32"/>
          <w:szCs w:val="32"/>
          <w:highlight w:val="none"/>
          <w:lang w:val="en-US" w:eastAsia="zh-CN"/>
        </w:rPr>
        <w:t>0</w:t>
      </w:r>
      <w:r>
        <w:rPr>
          <w:rFonts w:hint="eastAsia" w:ascii="宋体" w:hAnsi="宋体" w:eastAsia="仿宋_GB2312" w:cs="Times New Roman"/>
          <w:color w:val="auto"/>
          <w:sz w:val="32"/>
          <w:szCs w:val="32"/>
          <w:highlight w:val="none"/>
        </w:rPr>
        <w:t>万元；公务用车购置费</w:t>
      </w:r>
      <w:r>
        <w:rPr>
          <w:rFonts w:hint="eastAsia" w:ascii="宋体" w:hAnsi="宋体" w:eastAsia="仿宋_GB2312" w:cs="Times New Roman"/>
          <w:color w:val="auto"/>
          <w:sz w:val="32"/>
          <w:szCs w:val="32"/>
          <w:highlight w:val="none"/>
          <w:lang w:val="en-US" w:eastAsia="zh-CN"/>
        </w:rPr>
        <w:t>0</w:t>
      </w:r>
      <w:r>
        <w:rPr>
          <w:rFonts w:hint="eastAsia" w:ascii="宋体" w:hAnsi="宋体" w:eastAsia="仿宋_GB2312" w:cs="Times New Roman"/>
          <w:color w:val="auto"/>
          <w:sz w:val="32"/>
          <w:szCs w:val="32"/>
          <w:highlight w:val="none"/>
        </w:rPr>
        <w:t>万元，比上年增加</w:t>
      </w:r>
      <w:r>
        <w:rPr>
          <w:rFonts w:hint="eastAsia" w:ascii="仿宋" w:hAnsi="仿宋" w:eastAsia="仿宋" w:cs="仿宋"/>
          <w:color w:val="auto"/>
          <w:spacing w:val="4"/>
          <w:sz w:val="32"/>
          <w:szCs w:val="32"/>
          <w:highlight w:val="none"/>
          <w:lang w:val="en-US" w:eastAsia="zh-CN"/>
        </w:rPr>
        <w:t>0</w:t>
      </w:r>
      <w:r>
        <w:rPr>
          <w:rFonts w:hint="eastAsia" w:ascii="宋体" w:hAnsi="宋体" w:eastAsia="仿宋_GB2312" w:cs="Times New Roman"/>
          <w:color w:val="auto"/>
          <w:sz w:val="32"/>
          <w:szCs w:val="32"/>
          <w:highlight w:val="none"/>
        </w:rPr>
        <w:t>万元。</w:t>
      </w:r>
    </w:p>
    <w:bookmarkEnd w:id="18"/>
    <w:bookmarkEnd w:id="19"/>
    <w:p w14:paraId="003019AB">
      <w:pPr>
        <w:numPr>
          <w:ilvl w:val="0"/>
          <w:numId w:val="3"/>
        </w:numPr>
        <w:spacing w:line="204" w:lineRule="auto"/>
        <w:jc w:val="left"/>
        <w:rPr>
          <w:rFonts w:ascii="楷体" w:hAnsi="楷体" w:eastAsia="楷体" w:cs="楷体"/>
          <w:color w:val="auto"/>
          <w:spacing w:val="-3"/>
          <w:sz w:val="32"/>
          <w:szCs w:val="32"/>
          <w:highlight w:val="none"/>
        </w:rPr>
      </w:pPr>
      <w:r>
        <w:rPr>
          <w:rFonts w:hint="eastAsia" w:ascii="楷体" w:hAnsi="楷体" w:eastAsia="楷体" w:cs="楷体"/>
          <w:color w:val="auto"/>
          <w:spacing w:val="-3"/>
          <w:sz w:val="32"/>
          <w:szCs w:val="32"/>
          <w:highlight w:val="none"/>
        </w:rPr>
        <w:t>政府性基金预算收入支出决算情况说明</w:t>
      </w:r>
    </w:p>
    <w:p w14:paraId="20ABF2E8">
      <w:pPr>
        <w:ind w:firstLine="640" w:firstLineChars="200"/>
        <w:rPr>
          <w:rFonts w:ascii="宋体" w:hAnsi="宋体" w:eastAsia="仿宋_GB2312" w:cs="Times New Roman"/>
          <w:color w:val="auto"/>
          <w:sz w:val="32"/>
          <w:szCs w:val="32"/>
          <w:highlight w:val="none"/>
        </w:rPr>
      </w:pPr>
      <w:r>
        <w:rPr>
          <w:rFonts w:hint="eastAsia" w:ascii="宋体" w:hAnsi="宋体" w:eastAsia="仿宋_GB2312" w:cs="Times New Roman"/>
          <w:color w:val="auto"/>
          <w:sz w:val="32"/>
          <w:szCs w:val="32"/>
          <w:highlight w:val="none"/>
          <w:lang w:eastAsia="zh-CN"/>
        </w:rPr>
        <w:t>2021</w:t>
      </w:r>
      <w:r>
        <w:rPr>
          <w:rFonts w:hint="eastAsia" w:ascii="宋体" w:hAnsi="宋体" w:eastAsia="仿宋_GB2312" w:cs="Times New Roman"/>
          <w:color w:val="auto"/>
          <w:sz w:val="32"/>
          <w:szCs w:val="32"/>
          <w:highlight w:val="none"/>
        </w:rPr>
        <w:t>年政府性基金预算财政拨款本年收入</w:t>
      </w:r>
      <w:r>
        <w:rPr>
          <w:rFonts w:hint="eastAsia" w:ascii="宋体" w:hAnsi="宋体" w:eastAsia="仿宋_GB2312" w:cs="Times New Roman"/>
          <w:color w:val="auto"/>
          <w:sz w:val="32"/>
          <w:szCs w:val="32"/>
          <w:highlight w:val="none"/>
          <w:lang w:val="en-US" w:eastAsia="zh-CN"/>
        </w:rPr>
        <w:t>0</w:t>
      </w:r>
      <w:r>
        <w:rPr>
          <w:rFonts w:hint="eastAsia" w:ascii="宋体" w:hAnsi="宋体" w:eastAsia="仿宋_GB2312" w:cs="Times New Roman"/>
          <w:color w:val="auto"/>
          <w:sz w:val="32"/>
          <w:szCs w:val="32"/>
          <w:highlight w:val="none"/>
        </w:rPr>
        <w:t>万元，本年支出</w:t>
      </w:r>
      <w:r>
        <w:rPr>
          <w:rFonts w:hint="eastAsia" w:ascii="宋体" w:hAnsi="宋体" w:eastAsia="仿宋_GB2312" w:cs="Times New Roman"/>
          <w:color w:val="auto"/>
          <w:sz w:val="32"/>
          <w:szCs w:val="32"/>
          <w:highlight w:val="none"/>
          <w:lang w:val="en-US" w:eastAsia="zh-CN"/>
        </w:rPr>
        <w:t>0</w:t>
      </w:r>
      <w:r>
        <w:rPr>
          <w:rFonts w:hint="eastAsia" w:ascii="宋体" w:hAnsi="宋体" w:eastAsia="仿宋_GB2312" w:cs="Times New Roman"/>
          <w:color w:val="auto"/>
          <w:sz w:val="32"/>
          <w:szCs w:val="32"/>
          <w:highlight w:val="none"/>
        </w:rPr>
        <w:t>万元。</w:t>
      </w:r>
    </w:p>
    <w:p w14:paraId="7A72620C">
      <w:pPr>
        <w:numPr>
          <w:ilvl w:val="0"/>
          <w:numId w:val="3"/>
        </w:numPr>
        <w:spacing w:line="204" w:lineRule="auto"/>
        <w:jc w:val="left"/>
        <w:rPr>
          <w:rFonts w:ascii="楷体" w:hAnsi="楷体" w:eastAsia="楷体" w:cs="楷体"/>
          <w:color w:val="auto"/>
          <w:spacing w:val="-3"/>
          <w:sz w:val="32"/>
          <w:szCs w:val="32"/>
          <w:highlight w:val="none"/>
        </w:rPr>
      </w:pPr>
      <w:r>
        <w:rPr>
          <w:rFonts w:hint="eastAsia" w:ascii="楷体" w:hAnsi="楷体" w:eastAsia="楷体" w:cs="楷体"/>
          <w:color w:val="auto"/>
          <w:spacing w:val="-3"/>
          <w:sz w:val="32"/>
          <w:szCs w:val="32"/>
          <w:highlight w:val="none"/>
        </w:rPr>
        <w:t>其他重要事项的情况说明</w:t>
      </w:r>
    </w:p>
    <w:p w14:paraId="05F8D9D3">
      <w:pPr>
        <w:spacing w:line="204" w:lineRule="auto"/>
        <w:jc w:val="left"/>
        <w:rPr>
          <w:rFonts w:ascii="楷体" w:hAnsi="楷体" w:eastAsia="楷体" w:cs="楷体"/>
          <w:color w:val="auto"/>
          <w:spacing w:val="-3"/>
          <w:sz w:val="32"/>
          <w:szCs w:val="32"/>
          <w:highlight w:val="none"/>
        </w:rPr>
      </w:pPr>
      <w:r>
        <w:rPr>
          <w:rFonts w:hint="eastAsia" w:ascii="楷体" w:hAnsi="楷体" w:eastAsia="楷体" w:cs="楷体"/>
          <w:color w:val="auto"/>
          <w:spacing w:val="-3"/>
          <w:sz w:val="32"/>
          <w:szCs w:val="32"/>
          <w:highlight w:val="none"/>
        </w:rPr>
        <w:t>1.机关运行经费支出情况</w:t>
      </w:r>
    </w:p>
    <w:p w14:paraId="45591578">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rPr>
        <w:t>单位机关运行经费支出</w:t>
      </w:r>
      <w:r>
        <w:rPr>
          <w:rFonts w:hint="eastAsia" w:ascii="仿宋" w:hAnsi="仿宋" w:eastAsia="仿宋" w:cs="仿宋"/>
          <w:color w:val="auto"/>
          <w:sz w:val="32"/>
          <w:szCs w:val="32"/>
          <w:highlight w:val="none"/>
          <w:lang w:val="en-US" w:eastAsia="zh-CN"/>
        </w:rPr>
        <w:t>31.36</w:t>
      </w:r>
      <w:r>
        <w:rPr>
          <w:rFonts w:hint="eastAsia" w:ascii="仿宋" w:hAnsi="仿宋" w:eastAsia="仿宋" w:cs="仿宋"/>
          <w:color w:val="auto"/>
          <w:sz w:val="32"/>
          <w:szCs w:val="32"/>
          <w:highlight w:val="none"/>
        </w:rPr>
        <w:t>万元，比</w:t>
      </w:r>
      <w:r>
        <w:rPr>
          <w:rFonts w:hint="eastAsia" w:ascii="仿宋" w:hAnsi="仿宋" w:eastAsia="仿宋" w:cs="仿宋"/>
          <w:color w:val="auto"/>
          <w:sz w:val="32"/>
          <w:szCs w:val="32"/>
          <w:highlight w:val="none"/>
          <w:lang w:eastAsia="zh-CN"/>
        </w:rPr>
        <w:t>2020</w:t>
      </w:r>
      <w:r>
        <w:rPr>
          <w:rFonts w:hint="eastAsia" w:ascii="仿宋" w:hAnsi="仿宋" w:eastAsia="仿宋" w:cs="仿宋"/>
          <w:color w:val="auto"/>
          <w:sz w:val="32"/>
          <w:szCs w:val="32"/>
          <w:highlight w:val="none"/>
        </w:rPr>
        <w:t>年减少</w:t>
      </w:r>
      <w:r>
        <w:rPr>
          <w:rFonts w:hint="eastAsia" w:ascii="仿宋" w:hAnsi="仿宋" w:eastAsia="仿宋" w:cs="仿宋"/>
          <w:color w:val="auto"/>
          <w:sz w:val="32"/>
          <w:szCs w:val="32"/>
          <w:highlight w:val="none"/>
          <w:lang w:val="en-US" w:eastAsia="zh-CN"/>
        </w:rPr>
        <w:t>266.78</w:t>
      </w:r>
      <w:r>
        <w:rPr>
          <w:rFonts w:hint="eastAsia" w:ascii="仿宋" w:hAnsi="仿宋" w:eastAsia="仿宋" w:cs="仿宋"/>
          <w:color w:val="auto"/>
          <w:sz w:val="32"/>
          <w:szCs w:val="32"/>
          <w:highlight w:val="none"/>
        </w:rPr>
        <w:t>万元，降低</w:t>
      </w:r>
      <w:r>
        <w:rPr>
          <w:rFonts w:hint="eastAsia" w:ascii="仿宋" w:hAnsi="仿宋" w:eastAsia="仿宋" w:cs="仿宋"/>
          <w:color w:val="auto"/>
          <w:sz w:val="32"/>
          <w:szCs w:val="32"/>
          <w:highlight w:val="none"/>
          <w:lang w:val="en-US" w:eastAsia="zh-CN"/>
        </w:rPr>
        <w:t>89.48</w:t>
      </w:r>
      <w:r>
        <w:rPr>
          <w:rFonts w:hint="eastAsia" w:ascii="仿宋" w:hAnsi="仿宋" w:eastAsia="仿宋" w:cs="仿宋"/>
          <w:color w:val="auto"/>
          <w:sz w:val="32"/>
          <w:szCs w:val="32"/>
          <w:highlight w:val="none"/>
        </w:rPr>
        <w:t>%，</w:t>
      </w:r>
      <w:r>
        <w:rPr>
          <w:rFonts w:hint="eastAsia" w:ascii="仿宋" w:hAnsi="仿宋" w:eastAsia="仿宋" w:cs="仿宋"/>
          <w:color w:val="auto"/>
          <w:sz w:val="30"/>
          <w:szCs w:val="30"/>
          <w:highlight w:val="none"/>
        </w:rPr>
        <w:t>主要</w:t>
      </w:r>
      <w:r>
        <w:rPr>
          <w:rFonts w:hint="eastAsia" w:ascii="仿宋" w:hAnsi="仿宋" w:eastAsia="仿宋" w:cs="仿宋"/>
          <w:color w:val="auto"/>
          <w:sz w:val="30"/>
          <w:szCs w:val="30"/>
          <w:highlight w:val="none"/>
          <w:lang w:val="en-US" w:eastAsia="zh-CN"/>
        </w:rPr>
        <w:t>2020年</w:t>
      </w:r>
      <w:r>
        <w:rPr>
          <w:rFonts w:hint="eastAsia" w:ascii="仿宋" w:hAnsi="仿宋" w:eastAsia="仿宋" w:cs="仿宋"/>
          <w:color w:val="auto"/>
          <w:sz w:val="30"/>
          <w:szCs w:val="30"/>
          <w:highlight w:val="none"/>
        </w:rPr>
        <w:t>村级运转办公费</w:t>
      </w:r>
      <w:r>
        <w:rPr>
          <w:rFonts w:hint="eastAsia" w:ascii="仿宋" w:hAnsi="仿宋" w:eastAsia="仿宋" w:cs="仿宋"/>
          <w:color w:val="auto"/>
          <w:sz w:val="30"/>
          <w:szCs w:val="30"/>
          <w:highlight w:val="none"/>
          <w:lang w:val="en-US" w:eastAsia="zh-CN"/>
        </w:rPr>
        <w:t>列入一般公共预算，2021年列入项目预算</w:t>
      </w:r>
      <w:r>
        <w:rPr>
          <w:rFonts w:hint="eastAsia" w:ascii="仿宋" w:hAnsi="仿宋" w:eastAsia="仿宋" w:cs="仿宋"/>
          <w:color w:val="auto"/>
          <w:sz w:val="30"/>
          <w:szCs w:val="30"/>
          <w:highlight w:val="none"/>
        </w:rPr>
        <w:t>。</w:t>
      </w:r>
    </w:p>
    <w:p w14:paraId="453A0683">
      <w:pPr>
        <w:spacing w:line="204" w:lineRule="auto"/>
        <w:jc w:val="left"/>
        <w:rPr>
          <w:rFonts w:ascii="楷体" w:hAnsi="楷体" w:eastAsia="楷体" w:cs="楷体"/>
          <w:spacing w:val="-3"/>
          <w:sz w:val="32"/>
          <w:szCs w:val="32"/>
          <w:highlight w:val="none"/>
        </w:rPr>
      </w:pPr>
      <w:r>
        <w:rPr>
          <w:rFonts w:hint="eastAsia" w:ascii="楷体" w:hAnsi="楷体" w:eastAsia="楷体" w:cs="楷体"/>
          <w:spacing w:val="-3"/>
          <w:sz w:val="32"/>
          <w:szCs w:val="32"/>
          <w:highlight w:val="none"/>
        </w:rPr>
        <w:t>2.政府采购支出情况</w:t>
      </w:r>
    </w:p>
    <w:p w14:paraId="146DA09A">
      <w:pPr>
        <w:ind w:firstLine="640" w:firstLineChars="200"/>
        <w:rPr>
          <w:rFonts w:ascii="宋体" w:hAnsi="宋体" w:eastAsia="仿宋_GB2312" w:cs="Times New Roman"/>
          <w:sz w:val="32"/>
          <w:szCs w:val="32"/>
        </w:rPr>
      </w:pPr>
      <w:r>
        <w:rPr>
          <w:rFonts w:hint="eastAsia" w:ascii="宋体" w:hAnsi="宋体" w:eastAsia="仿宋_GB2312" w:cs="Times New Roman"/>
          <w:sz w:val="32"/>
          <w:szCs w:val="32"/>
          <w:lang w:eastAsia="zh-CN"/>
        </w:rPr>
        <w:t>2021</w:t>
      </w:r>
      <w:r>
        <w:rPr>
          <w:rFonts w:hint="eastAsia" w:ascii="宋体" w:hAnsi="宋体" w:eastAsia="仿宋_GB2312" w:cs="Times New Roman"/>
          <w:sz w:val="32"/>
          <w:szCs w:val="32"/>
        </w:rPr>
        <w:t>年我单位政府采购总额</w:t>
      </w:r>
      <w:r>
        <w:rPr>
          <w:rFonts w:hint="eastAsia" w:ascii="仿宋" w:hAnsi="仿宋" w:eastAsia="仿宋" w:cs="仿宋"/>
          <w:spacing w:val="4"/>
          <w:sz w:val="32"/>
          <w:szCs w:val="32"/>
          <w:lang w:val="en-US" w:eastAsia="zh-CN"/>
        </w:rPr>
        <w:t>9.9</w:t>
      </w:r>
      <w:r>
        <w:rPr>
          <w:rFonts w:hint="eastAsia" w:ascii="宋体" w:hAnsi="宋体" w:eastAsia="仿宋_GB2312" w:cs="Times New Roman"/>
          <w:sz w:val="32"/>
          <w:szCs w:val="32"/>
        </w:rPr>
        <w:t>万元，其中：政府采购货物</w:t>
      </w:r>
      <w:r>
        <w:rPr>
          <w:rFonts w:hint="eastAsia" w:ascii="仿宋" w:hAnsi="仿宋" w:eastAsia="仿宋" w:cs="仿宋"/>
          <w:spacing w:val="4"/>
          <w:sz w:val="32"/>
          <w:szCs w:val="32"/>
          <w:lang w:val="en-US" w:eastAsia="zh-CN"/>
        </w:rPr>
        <w:t>9.9</w:t>
      </w:r>
      <w:r>
        <w:rPr>
          <w:rFonts w:hint="eastAsia" w:ascii="宋体" w:hAnsi="宋体" w:eastAsia="仿宋_GB2312" w:cs="Times New Roman"/>
          <w:sz w:val="32"/>
          <w:szCs w:val="32"/>
        </w:rPr>
        <w:t>万</w:t>
      </w:r>
      <w:r>
        <w:rPr>
          <w:rFonts w:hint="eastAsia" w:ascii="宋体" w:hAnsi="宋体" w:eastAsia="仿宋_GB2312" w:cs="Times New Roman"/>
          <w:sz w:val="32"/>
          <w:szCs w:val="32"/>
          <w:lang w:eastAsia="zh-CN"/>
        </w:rPr>
        <w:t>元</w:t>
      </w:r>
      <w:r>
        <w:rPr>
          <w:rFonts w:hint="eastAsia" w:ascii="宋体" w:hAnsi="宋体" w:eastAsia="仿宋_GB2312" w:cs="Times New Roman"/>
          <w:sz w:val="32"/>
          <w:szCs w:val="32"/>
        </w:rPr>
        <w:t>。</w:t>
      </w:r>
    </w:p>
    <w:p w14:paraId="689DDEAE">
      <w:pPr>
        <w:spacing w:line="204" w:lineRule="auto"/>
        <w:jc w:val="left"/>
        <w:rPr>
          <w:rFonts w:ascii="楷体" w:hAnsi="楷体" w:eastAsia="楷体" w:cs="楷体"/>
          <w:spacing w:val="-3"/>
          <w:sz w:val="32"/>
          <w:szCs w:val="32"/>
        </w:rPr>
      </w:pPr>
      <w:r>
        <w:rPr>
          <w:rFonts w:hint="eastAsia" w:ascii="楷体" w:hAnsi="楷体" w:eastAsia="楷体" w:cs="楷体"/>
          <w:spacing w:val="-3"/>
          <w:sz w:val="32"/>
          <w:szCs w:val="32"/>
        </w:rPr>
        <w:t>3、国有资产占有情况</w:t>
      </w:r>
    </w:p>
    <w:p w14:paraId="59C9CD8B">
      <w:pPr>
        <w:ind w:firstLine="640" w:firstLineChars="200"/>
        <w:rPr>
          <w:rFonts w:ascii="宋体" w:hAnsi="宋体" w:eastAsia="仿宋_GB2312" w:cs="Times New Roman"/>
          <w:sz w:val="32"/>
          <w:szCs w:val="32"/>
        </w:rPr>
      </w:pPr>
      <w:r>
        <w:rPr>
          <w:rFonts w:hint="eastAsia" w:ascii="宋体" w:hAnsi="宋体" w:eastAsia="仿宋_GB2312" w:cs="Times New Roman"/>
          <w:sz w:val="32"/>
          <w:szCs w:val="32"/>
        </w:rPr>
        <w:t>截至</w:t>
      </w:r>
      <w:r>
        <w:rPr>
          <w:rFonts w:hint="eastAsia" w:ascii="宋体" w:hAnsi="宋体" w:eastAsia="仿宋_GB2312" w:cs="Times New Roman"/>
          <w:sz w:val="32"/>
          <w:szCs w:val="32"/>
          <w:lang w:eastAsia="zh-CN"/>
        </w:rPr>
        <w:t>2021</w:t>
      </w:r>
      <w:r>
        <w:rPr>
          <w:rFonts w:hint="eastAsia" w:ascii="宋体" w:hAnsi="宋体" w:eastAsia="仿宋_GB2312" w:cs="Times New Roman"/>
          <w:sz w:val="32"/>
          <w:szCs w:val="32"/>
        </w:rPr>
        <w:t>年12月31日，本部门共有车辆</w:t>
      </w:r>
      <w:r>
        <w:rPr>
          <w:rFonts w:hint="eastAsia" w:ascii="宋体" w:hAnsi="宋体" w:eastAsia="仿宋_GB2312" w:cs="Times New Roman"/>
          <w:sz w:val="32"/>
          <w:szCs w:val="32"/>
          <w:lang w:val="en-US" w:eastAsia="zh-CN"/>
        </w:rPr>
        <w:t>1</w:t>
      </w:r>
      <w:r>
        <w:rPr>
          <w:rFonts w:hint="eastAsia" w:ascii="宋体" w:hAnsi="宋体" w:eastAsia="仿宋_GB2312" w:cs="Times New Roman"/>
          <w:sz w:val="32"/>
          <w:szCs w:val="32"/>
        </w:rPr>
        <w:t>辆，其中，主要领导干部用车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辆、机要通信用车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辆、应急保障用车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辆、执法执勤用车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辆、特种专业技术用车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辆、离退休干部用车</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辆、其他用车</w:t>
      </w:r>
      <w:r>
        <w:rPr>
          <w:rFonts w:hint="eastAsia" w:ascii="宋体" w:hAnsi="宋体" w:eastAsia="仿宋_GB2312" w:cs="Times New Roman"/>
          <w:sz w:val="32"/>
          <w:szCs w:val="32"/>
          <w:lang w:val="en-US" w:eastAsia="zh-CN"/>
        </w:rPr>
        <w:t>1</w:t>
      </w:r>
      <w:r>
        <w:rPr>
          <w:rFonts w:hint="eastAsia" w:ascii="宋体" w:hAnsi="宋体" w:eastAsia="仿宋_GB2312" w:cs="Times New Roman"/>
          <w:sz w:val="32"/>
          <w:szCs w:val="32"/>
        </w:rPr>
        <w:t>辆， 单价50万元（含）以上的通用设备</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台（套）， 单价100万元（含）以上专用设备</w:t>
      </w:r>
      <w:r>
        <w:rPr>
          <w:rFonts w:hint="eastAsia" w:ascii="宋体" w:hAnsi="宋体" w:eastAsia="仿宋_GB2312" w:cs="Times New Roman"/>
          <w:sz w:val="32"/>
          <w:szCs w:val="32"/>
          <w:lang w:val="en-US" w:eastAsia="zh-CN"/>
        </w:rPr>
        <w:t>0</w:t>
      </w:r>
      <w:r>
        <w:rPr>
          <w:rFonts w:hint="eastAsia" w:ascii="宋体" w:hAnsi="宋体" w:eastAsia="仿宋_GB2312" w:cs="Times New Roman"/>
          <w:sz w:val="32"/>
          <w:szCs w:val="32"/>
        </w:rPr>
        <w:t>台（套）。</w:t>
      </w:r>
    </w:p>
    <w:p w14:paraId="1FF095CE">
      <w:pPr>
        <w:numPr>
          <w:ilvl w:val="0"/>
          <w:numId w:val="4"/>
        </w:numPr>
        <w:spacing w:line="204" w:lineRule="auto"/>
        <w:jc w:val="left"/>
        <w:rPr>
          <w:rFonts w:ascii="楷体" w:hAnsi="楷体" w:eastAsia="楷体" w:cs="楷体"/>
          <w:spacing w:val="-3"/>
          <w:sz w:val="32"/>
          <w:szCs w:val="32"/>
        </w:rPr>
      </w:pPr>
      <w:r>
        <w:rPr>
          <w:rFonts w:hint="eastAsia" w:ascii="楷体" w:hAnsi="楷体" w:eastAsia="楷体" w:cs="楷体"/>
          <w:spacing w:val="-3"/>
          <w:sz w:val="32"/>
          <w:szCs w:val="32"/>
        </w:rPr>
        <w:t>绩效管理情况</w:t>
      </w:r>
    </w:p>
    <w:p w14:paraId="08BE0BC2">
      <w:pPr>
        <w:numPr>
          <w:ilvl w:val="0"/>
          <w:numId w:val="5"/>
        </w:numPr>
        <w:rPr>
          <w:rFonts w:hint="eastAsia" w:ascii="宋体" w:hAnsi="宋体" w:eastAsia="仿宋_GB2312" w:cs="Times New Roman"/>
          <w:sz w:val="32"/>
          <w:szCs w:val="32"/>
          <w:lang w:eastAsia="zh-CN"/>
        </w:rPr>
      </w:pPr>
      <w:r>
        <w:rPr>
          <w:rFonts w:hint="eastAsia" w:ascii="宋体" w:hAnsi="宋体" w:eastAsia="仿宋_GB2312" w:cs="Times New Roman"/>
          <w:sz w:val="32"/>
          <w:szCs w:val="32"/>
          <w:lang w:eastAsia="zh-CN"/>
        </w:rPr>
        <w:t>我乡根据财政预算管理要求，开展了绩效自评，发现的主要问题是个别预算指标编制存在差异。下一步改进措施：今后加快支付进度，保证各项支出清晰合理，资金高效安全。</w:t>
      </w:r>
    </w:p>
    <w:p w14:paraId="053C2D17">
      <w:pPr>
        <w:pStyle w:val="2"/>
        <w:numPr>
          <w:ilvl w:val="0"/>
          <w:numId w:val="0"/>
        </w:numPr>
        <w:ind w:firstLine="640" w:firstLineChars="200"/>
        <w:rPr>
          <w:rFonts w:hint="eastAsia" w:ascii="仿宋" w:hAnsi="仿宋" w:eastAsia="仿宋" w:cs="仿宋"/>
          <w:sz w:val="32"/>
          <w:szCs w:val="32"/>
          <w:lang w:val="en-US" w:eastAsia="zh-CN"/>
        </w:rPr>
      </w:pPr>
      <w:r>
        <w:rPr>
          <w:rFonts w:hint="eastAsia"/>
          <w:sz w:val="32"/>
          <w:szCs w:val="32"/>
          <w:lang w:val="en-US" w:eastAsia="zh-CN"/>
        </w:rPr>
        <w:t>2</w:t>
      </w:r>
      <w:r>
        <w:rPr>
          <w:rFonts w:hint="eastAsia" w:ascii="仿宋" w:hAnsi="仿宋" w:eastAsia="仿宋" w:cs="仿宋"/>
          <w:sz w:val="32"/>
          <w:szCs w:val="32"/>
          <w:lang w:val="en-US" w:eastAsia="zh-CN"/>
        </w:rPr>
        <w:t>021年度单位实行绩效目标管理的项目39个，涉及一般公共元当年拨款1637.41万元。</w:t>
      </w:r>
    </w:p>
    <w:p w14:paraId="4C10E447">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般公共服务支出项目6个，支出87.79万元。主要是乡镇综合经费32.98万元、乡镇运转经费15万元、未发生肇事肇祸严重精神障碍患者监护人奖励资金1万元、2021年新录用公务员工资及费用85946.92元、窑子头乡纪检办案经费29954元、党建经费20万元、60周岁优抚四清借干4428元、组织部长期聘用人员生活补助67800元</w:t>
      </w:r>
    </w:p>
    <w:p w14:paraId="59569EF2">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公共安全支出项目1个，支出8000元。主要是组织部长期聘用人员生活补助8000。</w:t>
      </w:r>
    </w:p>
    <w:p w14:paraId="241A85B4">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科学技术支出1个，支出2000元。主要是2021年暑期大学生实习实训生活补贴。</w:t>
      </w:r>
    </w:p>
    <w:p w14:paraId="6EA8C2E3">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文化旅游体育与传媒支,1个，支出4000元。主要是组织部长期聘用人员生活补助4000元。</w:t>
      </w:r>
    </w:p>
    <w:p w14:paraId="3D808C7A">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社会保障和就业支出项目13个，支出2965481.8元。死亡抚恤263012.8元、伤残抚恤26600元、在乡复员、退伍军人生活补助73710元、义务兵优待421000元，农村籍退役士兵老年生活补助165900元、其他生活救助4200元。</w:t>
      </w:r>
    </w:p>
    <w:p w14:paraId="6C045D0D">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卫生健康支出3个，支出373388.85元.主要是组织部长期聘用人员生活补助73500元、疫情防控资金299888.85元。</w:t>
      </w:r>
    </w:p>
    <w:p w14:paraId="598270BC">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林水支出11个，支出12143956元。主要是农村厕所革命资金93300元、人居环境整治400000元、改厕资金1315500元、2021年乡村振兴专项资金217700元、梨园头村股份经济合作社大棚建设补助924056元、地力保护补贴资金1500元、2021年村级公益事业建设一事一议700000元、一事一议财政奖补资金500000元、对村民委员会的补助69400元、对集体经济补助7922500元。</w:t>
      </w:r>
    </w:p>
    <w:p w14:paraId="25DF6E4B">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其他支出1个，支出2424元。</w:t>
      </w:r>
    </w:p>
    <w:p w14:paraId="412323D3">
      <w:pPr>
        <w:pStyle w:val="2"/>
        <w:numPr>
          <w:ilvl w:val="0"/>
          <w:numId w:val="0"/>
        </w:numPr>
        <w:ind w:firstLine="640" w:firstLineChars="200"/>
        <w:rPr>
          <w:rFonts w:hint="default" w:ascii="仿宋" w:hAnsi="仿宋" w:eastAsia="仿宋" w:cs="仿宋"/>
          <w:sz w:val="32"/>
          <w:szCs w:val="32"/>
          <w:lang w:val="en-US" w:eastAsia="zh-CN"/>
        </w:rPr>
      </w:pPr>
    </w:p>
    <w:p w14:paraId="42B323D7">
      <w:pPr>
        <w:pStyle w:val="2"/>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07A637B">
      <w:pPr>
        <w:rPr>
          <w:rFonts w:ascii="宋体" w:hAnsi="宋体" w:eastAsia="仿宋_GB2312" w:cs="Times New Roman"/>
          <w:sz w:val="32"/>
          <w:szCs w:val="32"/>
        </w:rPr>
      </w:pPr>
      <w:r>
        <w:rPr>
          <w:rFonts w:hint="eastAsia" w:ascii="宋体" w:hAnsi="宋体" w:eastAsia="仿宋_GB2312" w:cs="Times New Roman"/>
          <w:sz w:val="32"/>
          <w:szCs w:val="32"/>
        </w:rPr>
        <w:t>(2)绩效评价工作取得的成效。</w:t>
      </w:r>
    </w:p>
    <w:p w14:paraId="3CB721FE">
      <w:pPr>
        <w:widowControl/>
        <w:ind w:firstLine="640" w:firstLineChars="200"/>
        <w:jc w:val="left"/>
        <w:rPr>
          <w:rFonts w:hint="eastAsia" w:ascii="仿宋_GB2312" w:hAnsi="仿宋_GB2312" w:eastAsia="仿宋_GB2312" w:cs="仿宋_GB2312"/>
          <w:color w:val="000000"/>
          <w:kern w:val="0"/>
          <w:sz w:val="31"/>
          <w:szCs w:val="31"/>
          <w:lang w:eastAsia="zh-CN"/>
        </w:rPr>
      </w:pPr>
      <w:r>
        <w:rPr>
          <w:rFonts w:hint="eastAsia" w:ascii="宋体" w:hAnsi="宋体" w:eastAsia="仿宋_GB2312" w:cs="Times New Roman"/>
          <w:sz w:val="32"/>
          <w:szCs w:val="32"/>
          <w:lang w:eastAsia="zh-CN"/>
        </w:rPr>
        <w:t>深入开展预算绩效评价工作，进一步落实支出责任。进一步拓展绩效评价管理模式，在重点项目绩效评价的基础上，开展了部门整体支出绩效评价和专项资金政策评价试点。</w:t>
      </w:r>
    </w:p>
    <w:p w14:paraId="4E58C228">
      <w:pPr>
        <w:spacing w:line="204" w:lineRule="auto"/>
        <w:jc w:val="left"/>
        <w:rPr>
          <w:rFonts w:ascii="楷体" w:hAnsi="楷体" w:eastAsia="楷体" w:cs="楷体"/>
          <w:spacing w:val="-3"/>
          <w:sz w:val="32"/>
          <w:szCs w:val="32"/>
        </w:rPr>
      </w:pPr>
      <w:r>
        <w:rPr>
          <w:rFonts w:hint="eastAsia" w:ascii="楷体" w:hAnsi="楷体" w:eastAsia="楷体" w:cs="楷体"/>
          <w:spacing w:val="-3"/>
          <w:sz w:val="32"/>
          <w:szCs w:val="32"/>
        </w:rPr>
        <w:t>5.政府购买服务指导性目录。</w:t>
      </w:r>
    </w:p>
    <w:p w14:paraId="2FA8144E">
      <w:pPr>
        <w:spacing w:line="204" w:lineRule="auto"/>
        <w:ind w:firstLine="656" w:firstLineChars="200"/>
        <w:jc w:val="left"/>
        <w:rPr>
          <w:rFonts w:ascii="仿宋" w:hAnsi="仿宋" w:eastAsia="仿宋" w:cs="仿宋"/>
          <w:spacing w:val="4"/>
          <w:sz w:val="32"/>
          <w:szCs w:val="32"/>
        </w:rPr>
      </w:pPr>
      <w:r>
        <w:rPr>
          <w:rFonts w:hint="eastAsia" w:ascii="仿宋" w:hAnsi="仿宋" w:eastAsia="仿宋" w:cs="仿宋"/>
          <w:spacing w:val="4"/>
          <w:sz w:val="32"/>
          <w:szCs w:val="32"/>
        </w:rPr>
        <w:t>无</w:t>
      </w:r>
    </w:p>
    <w:p w14:paraId="35F5CF9C">
      <w:pPr>
        <w:ind w:firstLine="2808" w:firstLineChars="900"/>
        <w:outlineLvl w:val="0"/>
        <w:rPr>
          <w:rFonts w:ascii="黑体" w:hAnsi="黑体" w:eastAsia="黑体" w:cs="黑体"/>
          <w:snapToGrid w:val="0"/>
          <w:spacing w:val="-4"/>
          <w:kern w:val="0"/>
          <w:sz w:val="32"/>
          <w:szCs w:val="32"/>
        </w:rPr>
      </w:pPr>
      <w:bookmarkStart w:id="20" w:name="_Toc32537"/>
      <w:bookmarkStart w:id="21" w:name="_Toc8549_WPSOffice_Level1"/>
      <w:r>
        <w:rPr>
          <w:rFonts w:hint="eastAsia" w:ascii="黑体" w:hAnsi="黑体" w:eastAsia="黑体" w:cs="黑体"/>
          <w:snapToGrid w:val="0"/>
          <w:spacing w:val="-4"/>
          <w:kern w:val="0"/>
          <w:sz w:val="32"/>
          <w:szCs w:val="32"/>
        </w:rPr>
        <w:t xml:space="preserve">第四部分 </w:t>
      </w:r>
      <w:r>
        <w:rPr>
          <w:rFonts w:ascii="黑体" w:hAnsi="黑体" w:eastAsia="黑体" w:cs="黑体"/>
          <w:snapToGrid w:val="0"/>
          <w:spacing w:val="-4"/>
          <w:kern w:val="0"/>
          <w:sz w:val="32"/>
          <w:szCs w:val="32"/>
        </w:rPr>
        <w:t>名词解释</w:t>
      </w:r>
      <w:bookmarkEnd w:id="20"/>
      <w:bookmarkEnd w:id="21"/>
    </w:p>
    <w:p w14:paraId="27FFCFB4">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财政拨款收入</w:t>
      </w:r>
      <w:r>
        <w:rPr>
          <w:rFonts w:hint="eastAsia" w:ascii="仿宋" w:hAnsi="仿宋" w:eastAsia="仿宋" w:cs="仿宋"/>
          <w:spacing w:val="4"/>
          <w:sz w:val="32"/>
          <w:szCs w:val="32"/>
        </w:rPr>
        <w:t>:指同级财政当年拨付的资金。</w:t>
      </w:r>
    </w:p>
    <w:p w14:paraId="27FAC14F">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上级补助收入</w:t>
      </w:r>
      <w:r>
        <w:rPr>
          <w:rFonts w:hint="eastAsia" w:ascii="仿宋" w:hAnsi="仿宋" w:eastAsia="仿宋" w:cs="仿宋"/>
          <w:spacing w:val="4"/>
          <w:sz w:val="32"/>
          <w:szCs w:val="32"/>
        </w:rPr>
        <w:t>:指事业单位从主管部门和上级单位取得的非财政补助收入。</w:t>
      </w:r>
    </w:p>
    <w:p w14:paraId="6446B626">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事业收入</w:t>
      </w:r>
      <w:r>
        <w:rPr>
          <w:rFonts w:hint="eastAsia" w:ascii="仿宋" w:hAnsi="仿宋" w:eastAsia="仿宋" w:cs="仿宋"/>
          <w:spacing w:val="4"/>
          <w:sz w:val="32"/>
          <w:szCs w:val="32"/>
        </w:rPr>
        <w:t>:指事业单位开展专业业务活动及其辅助活动所取得的收入。</w:t>
      </w:r>
    </w:p>
    <w:p w14:paraId="53DAE1FB">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经营收入</w:t>
      </w:r>
      <w:r>
        <w:rPr>
          <w:rFonts w:hint="eastAsia" w:ascii="仿宋" w:hAnsi="仿宋" w:eastAsia="仿宋" w:cs="仿宋"/>
          <w:spacing w:val="4"/>
          <w:sz w:val="32"/>
          <w:szCs w:val="32"/>
        </w:rPr>
        <w:t>:指事业单位在专业业务活动及其辅助活动之外开展非独立核算经营活动取得的收入。</w:t>
      </w:r>
    </w:p>
    <w:p w14:paraId="7333F795">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附属单位缴款</w:t>
      </w:r>
      <w:r>
        <w:rPr>
          <w:rFonts w:hint="eastAsia" w:ascii="仿宋" w:hAnsi="仿宋" w:eastAsia="仿宋" w:cs="仿宋"/>
          <w:spacing w:val="4"/>
          <w:sz w:val="32"/>
          <w:szCs w:val="32"/>
        </w:rPr>
        <w:t>:指事业单位附属的独立核算单位按有关规定上缴的收入。</w:t>
      </w:r>
    </w:p>
    <w:p w14:paraId="70D24302">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其他收入</w:t>
      </w:r>
      <w:r>
        <w:rPr>
          <w:rFonts w:hint="eastAsia" w:ascii="仿宋" w:hAnsi="仿宋" w:eastAsia="仿宋" w:cs="仿宋"/>
          <w:spacing w:val="4"/>
          <w:sz w:val="32"/>
          <w:szCs w:val="32"/>
        </w:rPr>
        <w:t>:指除上述“财政拨款收入”、“事业收入”、“经营收入”、“附属单位缴款”等之外取得的收入。</w:t>
      </w:r>
    </w:p>
    <w:p w14:paraId="36E61D99">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用事业基金弥补收支差额</w:t>
      </w:r>
      <w:r>
        <w:rPr>
          <w:rFonts w:hint="eastAsia" w:ascii="仿宋" w:hAnsi="仿宋" w:eastAsia="仿宋" w:cs="仿宋"/>
          <w:spacing w:val="4"/>
          <w:sz w:val="32"/>
          <w:szCs w:val="32"/>
        </w:rPr>
        <w:t>:指事业单位在当年的“财政拨款收入”、“财政</w:t>
      </w:r>
      <w:r>
        <w:rPr>
          <w:rFonts w:hint="eastAsia" w:ascii="仿宋" w:hAnsi="仿宋" w:eastAsia="仿宋" w:cs="仿宋"/>
          <w:spacing w:val="4"/>
          <w:sz w:val="32"/>
          <w:szCs w:val="32"/>
          <w:lang w:eastAsia="zh-CN"/>
        </w:rPr>
        <w:t>拨</w:t>
      </w:r>
      <w:r>
        <w:rPr>
          <w:rFonts w:hint="eastAsia" w:ascii="仿宋" w:hAnsi="仿宋" w:eastAsia="仿宋" w:cs="仿宋"/>
          <w:spacing w:val="4"/>
          <w:sz w:val="32"/>
          <w:szCs w:val="32"/>
        </w:rPr>
        <w:t>款结转和结余资金”、“事业收入”、“事业单位经营收入”、“其他区收入”不足以安排当年支出的情况下，使用以前年度积累的事业基金(即事业单位当年收支相抵后按国家规定提取、用于弥补以后年度收支差额的基金)弥补本年度收支缺口的资金。</w:t>
      </w:r>
    </w:p>
    <w:p w14:paraId="559F50F3">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上年结转和结余</w:t>
      </w:r>
      <w:r>
        <w:rPr>
          <w:rFonts w:hint="eastAsia" w:ascii="仿宋" w:hAnsi="仿宋" w:eastAsia="仿宋" w:cs="仿宋"/>
          <w:spacing w:val="4"/>
          <w:sz w:val="32"/>
          <w:szCs w:val="32"/>
        </w:rPr>
        <w:t>：指以前年度支出预算因客观条件变化未执行完毕、结转到本年度按有关规定继续使用的资金，既包括财政拨款结转和结余，也包括事业收入、经营收入、其他收入的结转和结余。</w:t>
      </w:r>
    </w:p>
    <w:p w14:paraId="528EFE66">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结余分配</w:t>
      </w:r>
      <w:r>
        <w:rPr>
          <w:rFonts w:hint="eastAsia" w:ascii="仿宋" w:hAnsi="仿宋" w:eastAsia="仿宋" w:cs="仿宋"/>
          <w:spacing w:val="4"/>
          <w:sz w:val="32"/>
          <w:szCs w:val="32"/>
        </w:rPr>
        <w:t>：反应单位当年结余的分配情况。</w:t>
      </w:r>
    </w:p>
    <w:p w14:paraId="24450E67">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年末结转和结余</w:t>
      </w:r>
      <w:r>
        <w:rPr>
          <w:rFonts w:hint="eastAsia" w:ascii="仿宋" w:hAnsi="仿宋" w:eastAsia="仿宋" w:cs="仿宋"/>
          <w:spacing w:val="4"/>
          <w:sz w:val="32"/>
          <w:szCs w:val="32"/>
        </w:rPr>
        <w:t>：指本年度或以前年度预算安排、因客观条件发生变化按原计划实施，需要延迟到以后年度按有关规定继续使用的资金，既包括财政拨款结转和结余，也包括事业收入、经营收入、其他收入的结转和结余。</w:t>
      </w:r>
    </w:p>
    <w:p w14:paraId="4A23F8F2">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基本支出</w:t>
      </w:r>
      <w:r>
        <w:rPr>
          <w:rFonts w:hint="eastAsia" w:ascii="仿宋" w:hAnsi="仿宋" w:eastAsia="仿宋" w:cs="仿宋"/>
          <w:spacing w:val="4"/>
          <w:sz w:val="32"/>
          <w:szCs w:val="32"/>
        </w:rPr>
        <w:t>：指为保障机构正常运转、完成日常工作任务而发生的人员支出和公用支出。</w:t>
      </w:r>
    </w:p>
    <w:p w14:paraId="30CDB3CC">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项目支出</w:t>
      </w:r>
      <w:r>
        <w:rPr>
          <w:rFonts w:hint="eastAsia" w:ascii="仿宋" w:hAnsi="仿宋" w:eastAsia="仿宋" w:cs="仿宋"/>
          <w:spacing w:val="4"/>
          <w:sz w:val="32"/>
          <w:szCs w:val="32"/>
        </w:rPr>
        <w:t>：指在基本支出之外为完成特定行政任务和事业发展目标所发生的支出。</w:t>
      </w:r>
    </w:p>
    <w:p w14:paraId="339AB963">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经营支出</w:t>
      </w:r>
      <w:r>
        <w:rPr>
          <w:rFonts w:hint="eastAsia" w:ascii="仿宋" w:hAnsi="仿宋" w:eastAsia="仿宋" w:cs="仿宋"/>
          <w:spacing w:val="4"/>
          <w:sz w:val="32"/>
          <w:szCs w:val="32"/>
        </w:rPr>
        <w:t>：指事业单位在专业业务活动及其辅助活动之外开展非独立核算经营活动发生的支出。</w:t>
      </w:r>
    </w:p>
    <w:p w14:paraId="2ECD101F">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对附属单位补助支出</w:t>
      </w:r>
      <w:r>
        <w:rPr>
          <w:rFonts w:hint="eastAsia" w:ascii="仿宋" w:hAnsi="仿宋" w:eastAsia="仿宋" w:cs="仿宋"/>
          <w:spacing w:val="4"/>
          <w:sz w:val="32"/>
          <w:szCs w:val="32"/>
        </w:rPr>
        <w:t>：指事业单位发生的用非财政预算资金对附属单位的补助支出。</w:t>
      </w:r>
    </w:p>
    <w:p w14:paraId="5F454AB3">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“三公”经费</w:t>
      </w:r>
      <w:r>
        <w:rPr>
          <w:rFonts w:hint="eastAsia" w:ascii="仿宋" w:hAnsi="仿宋" w:eastAsia="仿宋" w:cs="仿宋"/>
          <w:spacing w:val="4"/>
          <w:sz w:val="32"/>
          <w:szCs w:val="32"/>
        </w:rPr>
        <w:t>：纳入同级财政预决算管理的“三公”经费是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等支出；公务接待费反映单位按规定开支的各类公务接待（含外宾接待）支出。</w:t>
      </w:r>
    </w:p>
    <w:p w14:paraId="07EB38C3">
      <w:pPr>
        <w:spacing w:line="204" w:lineRule="auto"/>
        <w:jc w:val="left"/>
        <w:rPr>
          <w:rFonts w:ascii="仿宋" w:hAnsi="仿宋" w:eastAsia="仿宋" w:cs="仿宋"/>
          <w:spacing w:val="4"/>
          <w:sz w:val="32"/>
          <w:szCs w:val="32"/>
        </w:rPr>
      </w:pPr>
      <w:r>
        <w:rPr>
          <w:rFonts w:hint="eastAsia" w:ascii="仿宋" w:hAnsi="仿宋" w:eastAsia="仿宋" w:cs="仿宋"/>
          <w:b/>
          <w:bCs/>
          <w:spacing w:val="4"/>
          <w:sz w:val="32"/>
          <w:szCs w:val="32"/>
        </w:rPr>
        <w:t>机关运行经费</w:t>
      </w:r>
      <w:r>
        <w:rPr>
          <w:rFonts w:hint="eastAsia" w:ascii="仿宋" w:hAnsi="仿宋" w:eastAsia="仿宋" w:cs="仿宋"/>
          <w:spacing w:val="4"/>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ED62A7A"/>
    <w:p w14:paraId="11E06F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A5F3B"/>
    <w:multiLevelType w:val="singleLevel"/>
    <w:tmpl w:val="FB6A5F3B"/>
    <w:lvl w:ilvl="0" w:tentative="0">
      <w:start w:val="1"/>
      <w:numFmt w:val="decimal"/>
      <w:lvlText w:val="(%1)"/>
      <w:lvlJc w:val="left"/>
      <w:pPr>
        <w:tabs>
          <w:tab w:val="left" w:pos="312"/>
        </w:tabs>
      </w:pPr>
    </w:lvl>
  </w:abstractNum>
  <w:abstractNum w:abstractNumId="1">
    <w:nsid w:val="0CAE0828"/>
    <w:multiLevelType w:val="singleLevel"/>
    <w:tmpl w:val="0CAE0828"/>
    <w:lvl w:ilvl="0" w:tentative="0">
      <w:start w:val="8"/>
      <w:numFmt w:val="chineseCounting"/>
      <w:suff w:val="nothing"/>
      <w:lvlText w:val="%1、"/>
      <w:lvlJc w:val="left"/>
      <w:rPr>
        <w:rFonts w:hint="eastAsia"/>
      </w:rPr>
    </w:lvl>
  </w:abstractNum>
  <w:abstractNum w:abstractNumId="2">
    <w:nsid w:val="32CD2E15"/>
    <w:multiLevelType w:val="singleLevel"/>
    <w:tmpl w:val="32CD2E15"/>
    <w:lvl w:ilvl="0" w:tentative="0">
      <w:start w:val="1"/>
      <w:numFmt w:val="chineseCounting"/>
      <w:suff w:val="nothing"/>
      <w:lvlText w:val="（%1）"/>
      <w:lvlJc w:val="left"/>
      <w:rPr>
        <w:rFonts w:hint="eastAsia"/>
      </w:rPr>
    </w:lvl>
  </w:abstractNum>
  <w:abstractNum w:abstractNumId="3">
    <w:nsid w:val="40B6F801"/>
    <w:multiLevelType w:val="singleLevel"/>
    <w:tmpl w:val="40B6F801"/>
    <w:lvl w:ilvl="0" w:tentative="0">
      <w:start w:val="4"/>
      <w:numFmt w:val="decimal"/>
      <w:lvlText w:val="%1."/>
      <w:lvlJc w:val="left"/>
      <w:pPr>
        <w:tabs>
          <w:tab w:val="left" w:pos="312"/>
        </w:tabs>
      </w:pPr>
    </w:lvl>
  </w:abstractNum>
  <w:abstractNum w:abstractNumId="4">
    <w:nsid w:val="6AF4BF66"/>
    <w:multiLevelType w:val="singleLevel"/>
    <w:tmpl w:val="6AF4BF66"/>
    <w:lvl w:ilvl="0" w:tentative="0">
      <w:start w:val="1"/>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ZjMyOWRiOTg4ZWFiY2E2ZDUxOWRkMWQ5MWYzOTIifQ=="/>
  </w:docVars>
  <w:rsids>
    <w:rsidRoot w:val="7E3F0B7D"/>
    <w:rsid w:val="000014A7"/>
    <w:rsid w:val="00052B5B"/>
    <w:rsid w:val="00774AFB"/>
    <w:rsid w:val="00E4217F"/>
    <w:rsid w:val="055D438E"/>
    <w:rsid w:val="08866B01"/>
    <w:rsid w:val="0C0126BD"/>
    <w:rsid w:val="0E115DFD"/>
    <w:rsid w:val="11D27EAE"/>
    <w:rsid w:val="15F952AF"/>
    <w:rsid w:val="1BDC15AA"/>
    <w:rsid w:val="20D97C1B"/>
    <w:rsid w:val="219504B5"/>
    <w:rsid w:val="23553F43"/>
    <w:rsid w:val="299664C8"/>
    <w:rsid w:val="39D538F9"/>
    <w:rsid w:val="3A3016C3"/>
    <w:rsid w:val="3F28132A"/>
    <w:rsid w:val="41ED7378"/>
    <w:rsid w:val="481F4E03"/>
    <w:rsid w:val="49221B6F"/>
    <w:rsid w:val="4EA47728"/>
    <w:rsid w:val="564C56B0"/>
    <w:rsid w:val="5D1E5854"/>
    <w:rsid w:val="6544153D"/>
    <w:rsid w:val="65C4336F"/>
    <w:rsid w:val="68CD37BD"/>
    <w:rsid w:val="6BFF3B47"/>
    <w:rsid w:val="6C940C35"/>
    <w:rsid w:val="6FAF7CC3"/>
    <w:rsid w:val="71A0331E"/>
    <w:rsid w:val="7B0705CC"/>
    <w:rsid w:val="7E3F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after="0"/>
      <w:ind w:firstLine="420"/>
    </w:p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2270</Words>
  <Characters>2780</Characters>
  <Lines>5</Lines>
  <Paragraphs>7</Paragraphs>
  <TotalTime>9</TotalTime>
  <ScaleCrop>false</ScaleCrop>
  <LinksUpToDate>false</LinksUpToDate>
  <CharactersWithSpaces>2823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2021-10-28T10:29:00Z</dcterms:created>
  <dc:creator>Administrator</dc:creator>
  <cp:lastModifiedBy>Administrator</cp:lastModifiedBy>
  <cp:lastPrinted>2021-10-28T11:45:00Z</cp:lastPrinted>
  <dcterms:modified xsi:type="dcterms:W3CDTF">2025-10-16T05:00:13Z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D8B4FA2036824D3B836231C57672B4A3</vt:lpwstr>
  </property>
  <property fmtid="{D5CDD505-2E9C-101B-9397-08002B2CF9AE}" pid="4" name="KSOTemplateDocerSaveRecord">
    <vt:lpwstr>eyJoZGlkIjoiZTY2Y2Y2Nzk0YjJhYjJmNjRmY2EwZTAwNzQyOGUyMGMifQ==</vt:lpwstr>
  </property>
</Properties>
</file>