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8"/>
          <w:szCs w:val="48"/>
          <w:lang w:val="en-US" w:eastAsia="zh-CN"/>
        </w:rPr>
      </w:pPr>
      <w:r>
        <w:rPr>
          <w:rFonts w:hint="eastAsia"/>
          <w:sz w:val="48"/>
          <w:szCs w:val="48"/>
          <w:lang w:val="en-US" w:eastAsia="zh-CN"/>
        </w:rPr>
        <w:t xml:space="preserve"> </w:t>
      </w:r>
    </w:p>
    <w:p>
      <w:pPr>
        <w:jc w:val="center"/>
        <w:rPr>
          <w:rFonts w:ascii="黑体" w:eastAsia="黑体"/>
          <w:sz w:val="44"/>
          <w:szCs w:val="44"/>
        </w:rPr>
      </w:pPr>
      <w:r>
        <w:rPr>
          <w:rFonts w:hint="eastAsia" w:ascii="黑体" w:eastAsia="黑体"/>
          <w:sz w:val="44"/>
          <w:szCs w:val="44"/>
          <w:lang w:eastAsia="zh-CN"/>
        </w:rPr>
        <w:t>中国共产党朔州市朔城区直属机关工作委员会</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eastAsia" w:ascii="宋体" w:hAnsi="宋体" w:eastAsia="仿宋_GB2312" w:cs="Times New Roman"/>
          <w:sz w:val="32"/>
          <w:szCs w:val="32"/>
          <w:lang w:val="en-US" w:eastAsia="zh-CN"/>
        </w:rPr>
      </w:pPr>
      <w:r>
        <w:rPr>
          <w:rFonts w:hint="eastAsia" w:ascii="仿宋" w:hAnsi="仿宋" w:eastAsia="仿宋" w:cs="仿宋"/>
          <w:sz w:val="32"/>
          <w:szCs w:val="32"/>
        </w:rPr>
        <w:t>1、</w:t>
      </w:r>
      <w:r>
        <w:rPr>
          <w:rFonts w:hint="eastAsia" w:ascii="宋体" w:hAnsi="宋体" w:eastAsia="仿宋_GB2312" w:cs="Times New Roman"/>
          <w:sz w:val="32"/>
          <w:szCs w:val="32"/>
          <w:lang w:val="en-US" w:eastAsia="zh-CN"/>
        </w:rPr>
        <w:t>统一组织、规划、部署区直机关党的工作，提出加强和改进区直机关党的意见和建议，研究制订工作规划，并做好组织措施。</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2、指导区直机关党的政治建设、思想建设、组织建设、作风建设、纪律建设，把制度建设贯穿其中，深入推进反腐败斗争。</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3、指导区直机关各党组织和广大党员学习马克思列宁主义、毛泽东思想、邓小平理论、“三个代表”重要思想、科学发展观、习近平新时代中国特色社会主义思想。</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4、督促指导区直机关党组（党支部）认真履行机关党建主体责任，对区直机关各党组织、党员领导干部落实党建责任制、遵守政治纪律和政治规矩情况进行监督检查，并向区委报告。</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5、指导区直机关各党组织实施对党员特别是党员领导干部的监督和管理，及时向区委反映区直各单位领导班子、领导干部的情况。</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6、配合区委有关部门抓好区直机关领导班子思想政治建设，参与对党员领导干部民主生活会和区直机关各部门党组（党支部）理论学习的督促检查和指导，了解掌握情况，按规定报送情况报告。</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7、督促指导区直机关各部门基层党组织按期换届，审批关于召开党员大会或党员代表大会的请示，负责对区直机关各部门机关党支部书记、副书记的任免。指导区直机关党组织加强基层组织建设，做好党员发展、教育和管理等工作。培训区直机关党务干部。</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8、了解掌握区直机关工作人员的思想状况，指导区直机关各级党组织加强思想政治工作和精神文明建设。</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9、领导区直机关工会、共青团、妇工委等群团组织的党组织（支部）工作，指导区直机关各党组织做好党的群众工作和统一工作。</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lang w:val="en-US" w:eastAsia="zh-CN"/>
        </w:rPr>
        <w:t xml:space="preserve">10、完成区委交办的其他任务。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eastAsia="zh-CN"/>
        </w:rPr>
        <w:t>三</w:t>
      </w:r>
      <w:r>
        <w:rPr>
          <w:rFonts w:hint="eastAsia" w:ascii="宋体" w:hAnsi="宋体" w:eastAsia="仿宋_GB2312" w:cs="Times New Roman"/>
          <w:sz w:val="32"/>
          <w:szCs w:val="32"/>
        </w:rPr>
        <w:t>个科室，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w:t>
      </w:r>
      <w:r>
        <w:rPr>
          <w:rFonts w:hint="eastAsia" w:ascii="宋体" w:hAnsi="宋体" w:eastAsia="仿宋_GB2312" w:cs="Times New Roman"/>
          <w:sz w:val="32"/>
          <w:szCs w:val="32"/>
          <w:lang w:eastAsia="zh-CN"/>
        </w:rPr>
        <w:t>城区机关工委</w:t>
      </w:r>
      <w:r>
        <w:rPr>
          <w:rFonts w:hint="eastAsia" w:ascii="宋体" w:hAnsi="宋体" w:eastAsia="仿宋_GB2312" w:cs="Times New Roman"/>
          <w:sz w:val="32"/>
          <w:szCs w:val="32"/>
        </w:rPr>
        <w:t>单位部门决算包括：本级决算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度收入总计</w:t>
      </w:r>
      <w:r>
        <w:rPr>
          <w:rFonts w:hint="eastAsia" w:ascii="宋体" w:hAnsi="宋体" w:eastAsia="仿宋_GB2312" w:cs="Times New Roman"/>
          <w:sz w:val="32"/>
          <w:szCs w:val="32"/>
          <w:lang w:val="en-US" w:eastAsia="zh-CN"/>
        </w:rPr>
        <w:t>74.2</w:t>
      </w:r>
      <w:r>
        <w:rPr>
          <w:rFonts w:hint="eastAsia" w:ascii="宋体" w:hAnsi="宋体" w:eastAsia="仿宋_GB2312" w:cs="Times New Roman"/>
          <w:sz w:val="32"/>
          <w:szCs w:val="32"/>
        </w:rPr>
        <w:t>万元 、 支出总计</w:t>
      </w:r>
      <w:r>
        <w:rPr>
          <w:rFonts w:hint="eastAsia" w:ascii="宋体" w:hAnsi="宋体" w:eastAsia="仿宋_GB2312" w:cs="Times New Roman"/>
          <w:sz w:val="32"/>
          <w:szCs w:val="32"/>
          <w:lang w:val="en-US" w:eastAsia="zh-CN"/>
        </w:rPr>
        <w:t>74.2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18.9</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18.9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val="en-US" w:eastAsia="zh-CN"/>
        </w:rPr>
        <w:t>1.上年度调入4人，列支部分月份工资，本年列支全年工资；2.2021年度招考录用1人，工资及社保增加；3.本年新增机关党支部书记述职评议会项目</w:t>
      </w:r>
      <w:r>
        <w:rPr>
          <w:rFonts w:hint="eastAsia" w:ascii="宋体" w:hAnsi="宋体" w:eastAsia="仿宋_GB2312" w:cs="Times New Roman"/>
          <w:sz w:val="32"/>
          <w:szCs w:val="32"/>
          <w:lang w:val="en-US" w:eastAsia="zh-CN"/>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74.2</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74.2</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74.2</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65.57</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8.63</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74.2</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74.2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仿宋" w:hAnsi="仿宋" w:eastAsia="仿宋" w:cs="仿宋"/>
          <w:spacing w:val="-34"/>
          <w:sz w:val="32"/>
          <w:szCs w:val="32"/>
          <w:lang w:val="en-US" w:eastAsia="zh-CN"/>
        </w:rPr>
        <w:t>24.42</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49.06</w:t>
      </w:r>
      <w:r>
        <w:rPr>
          <w:rFonts w:hint="eastAsia" w:ascii="宋体" w:hAnsi="宋体" w:eastAsia="仿宋_GB2312" w:cs="Times New Roman"/>
          <w:sz w:val="32"/>
          <w:szCs w:val="32"/>
        </w:rPr>
        <w:t>%。主要原因是：</w:t>
      </w:r>
      <w:r>
        <w:rPr>
          <w:rFonts w:hint="eastAsia" w:ascii="宋体" w:hAnsi="宋体" w:eastAsia="仿宋_GB2312" w:cs="Times New Roman"/>
          <w:sz w:val="32"/>
          <w:szCs w:val="32"/>
          <w:highlight w:val="none"/>
          <w:lang w:val="en-US" w:eastAsia="zh-CN"/>
        </w:rPr>
        <w:t>1，上年度调入4人，列支部分月份工资，本年列支全年工资;2，2021年度招考录用1人，工资及社保增加;3，本年新增机关党支部书记述职评议会项目</w:t>
      </w:r>
      <w:r>
        <w:rPr>
          <w:rFonts w:hint="eastAsia" w:ascii="宋体" w:hAnsi="宋体" w:eastAsia="仿宋_GB2312" w:cs="Times New Roman"/>
          <w:sz w:val="32"/>
          <w:szCs w:val="32"/>
          <w:lang w:val="en-US" w:eastAsia="zh-CN"/>
        </w:rPr>
        <w:t>。</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74.2</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24.42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highlight w:val="none"/>
          <w:lang w:val="en-US" w:eastAsia="zh-CN"/>
        </w:rPr>
        <w:t>1，上年度调入4人，列支部分月份工资，本年列支全年工资;2，2021年度招考录用1人，工资及社保增加;3，本年新增机关党支部书记述职评议会项目</w:t>
      </w:r>
      <w:r>
        <w:rPr>
          <w:rFonts w:hint="eastAsia" w:ascii="宋体" w:hAnsi="宋体" w:eastAsia="仿宋_GB2312" w:cs="Times New Roman"/>
          <w:sz w:val="32"/>
          <w:szCs w:val="32"/>
          <w:lang w:val="en-US" w:eastAsia="zh-CN"/>
        </w:rPr>
        <w:t>。</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74.2</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lang w:val="en-US" w:eastAsia="zh-CN"/>
        </w:rPr>
        <w:t>2013101</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65.57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88.37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一般行政管理事务（</w:t>
      </w:r>
      <w:r>
        <w:rPr>
          <w:rFonts w:hint="eastAsia" w:ascii="宋体" w:hAnsi="宋体" w:eastAsia="仿宋_GB2312" w:cs="Times New Roman"/>
          <w:sz w:val="32"/>
          <w:szCs w:val="32"/>
          <w:lang w:val="en-US" w:eastAsia="zh-CN"/>
        </w:rPr>
        <w:t>2013102</w:t>
      </w:r>
      <w:r>
        <w:rPr>
          <w:rFonts w:hint="eastAsia" w:ascii="宋体" w:hAnsi="宋体" w:eastAsia="仿宋_GB2312" w:cs="Times New Roman"/>
          <w:sz w:val="32"/>
          <w:szCs w:val="32"/>
          <w:lang w:eastAsia="zh-CN"/>
        </w:rPr>
        <w:t>）科目</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8.63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11.63</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仿宋" w:hAnsi="仿宋" w:eastAsia="仿宋" w:cs="仿宋"/>
          <w:sz w:val="32"/>
          <w:szCs w:val="32"/>
          <w:lang w:val="en-US" w:eastAsia="zh-CN"/>
        </w:rPr>
        <w:t>74.2</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74.2</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65.57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58.91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58.91</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6.66</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6.66</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w:t>
      </w:r>
      <w:r>
        <w:rPr>
          <w:rFonts w:hint="eastAsia" w:ascii="宋体" w:hAnsi="宋体" w:eastAsia="仿宋_GB2312" w:cs="Times New Roman"/>
          <w:sz w:val="32"/>
          <w:szCs w:val="32"/>
          <w:lang w:eastAsia="zh-CN"/>
        </w:rPr>
        <w:t>支出</w:t>
      </w:r>
      <w:bookmarkStart w:id="22" w:name="_GoBack"/>
      <w:bookmarkEnd w:id="22"/>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我单位2021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政府性基金预算。</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6.66</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相比减少</w:t>
      </w:r>
      <w:r>
        <w:rPr>
          <w:rFonts w:hint="eastAsia" w:ascii="宋体" w:hAnsi="宋体" w:eastAsia="仿宋_GB2312" w:cs="Times New Roman"/>
          <w:sz w:val="32"/>
          <w:szCs w:val="32"/>
          <w:lang w:val="en-US" w:eastAsia="zh-CN"/>
        </w:rPr>
        <w:t>6.78万元，主要原因是：上一年将项目经费列入基本运行经费中</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4.55</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4.55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 xml:space="preserve">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w:t>
      </w:r>
    </w:p>
    <w:p>
      <w:pPr>
        <w:ind w:firstLine="640" w:firstLineChars="200"/>
        <w:rPr>
          <w:rFonts w:ascii="宋体" w:hAnsi="宋体" w:eastAsia="仿宋_GB2312" w:cs="Times New Roman"/>
          <w:sz w:val="32"/>
          <w:szCs w:val="32"/>
          <w:highlight w:val="none"/>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年度单位实行绩效目标管理的项</w:t>
      </w:r>
      <w:r>
        <w:rPr>
          <w:rFonts w:hint="eastAsia" w:ascii="宋体" w:hAnsi="宋体" w:eastAsia="仿宋_GB2312" w:cs="Times New Roman"/>
          <w:sz w:val="32"/>
          <w:szCs w:val="32"/>
          <w:highlight w:val="none"/>
        </w:rPr>
        <w:t>目</w:t>
      </w:r>
      <w:r>
        <w:rPr>
          <w:rFonts w:hint="eastAsia" w:ascii="宋体" w:hAnsi="宋体" w:eastAsia="仿宋_GB2312" w:cs="Times New Roman"/>
          <w:sz w:val="32"/>
          <w:szCs w:val="32"/>
          <w:highlight w:val="none"/>
          <w:lang w:val="en-US" w:eastAsia="zh-CN"/>
        </w:rPr>
        <w:t>2</w:t>
      </w:r>
      <w:r>
        <w:rPr>
          <w:rFonts w:hint="eastAsia" w:ascii="宋体" w:hAnsi="宋体" w:eastAsia="仿宋_GB2312" w:cs="Times New Roman"/>
          <w:sz w:val="32"/>
          <w:szCs w:val="32"/>
          <w:highlight w:val="none"/>
        </w:rPr>
        <w:t>个，</w:t>
      </w:r>
    </w:p>
    <w:p>
      <w:pPr>
        <w:rPr>
          <w:rFonts w:hint="eastAsia" w:ascii="宋体" w:hAnsi="宋体" w:eastAsia="仿宋_GB2312" w:cs="Times New Roman"/>
          <w:sz w:val="32"/>
          <w:szCs w:val="32"/>
          <w:highlight w:val="none"/>
          <w:lang w:eastAsia="zh-CN"/>
        </w:rPr>
      </w:pPr>
      <w:r>
        <w:rPr>
          <w:rFonts w:hint="eastAsia" w:ascii="宋体" w:hAnsi="宋体" w:eastAsia="仿宋_GB2312" w:cs="Times New Roman"/>
          <w:sz w:val="32"/>
          <w:szCs w:val="32"/>
          <w:highlight w:val="none"/>
        </w:rPr>
        <w:t>涉及一般公共预算当年拨款</w:t>
      </w:r>
      <w:r>
        <w:rPr>
          <w:rFonts w:hint="eastAsia" w:ascii="宋体" w:hAnsi="宋体" w:eastAsia="仿宋_GB2312" w:cs="Times New Roman"/>
          <w:sz w:val="32"/>
          <w:szCs w:val="32"/>
          <w:highlight w:val="none"/>
          <w:lang w:val="en-US" w:eastAsia="zh-CN"/>
        </w:rPr>
        <w:t>8.63</w:t>
      </w:r>
      <w:r>
        <w:rPr>
          <w:rFonts w:hint="eastAsia" w:ascii="宋体" w:hAnsi="宋体" w:eastAsia="仿宋_GB2312" w:cs="Times New Roman"/>
          <w:sz w:val="32"/>
          <w:szCs w:val="32"/>
          <w:highlight w:val="none"/>
        </w:rPr>
        <w:t>万元</w:t>
      </w:r>
      <w:r>
        <w:rPr>
          <w:rFonts w:hint="eastAsia" w:ascii="宋体" w:hAnsi="宋体" w:eastAsia="仿宋_GB2312" w:cs="Times New Roman"/>
          <w:sz w:val="32"/>
          <w:szCs w:val="32"/>
          <w:highlight w:val="none"/>
          <w:lang w:eastAsia="zh-CN"/>
        </w:rPr>
        <w:t>，分别为两名临时工工资</w:t>
      </w:r>
      <w:r>
        <w:rPr>
          <w:rFonts w:hint="eastAsia" w:ascii="宋体" w:hAnsi="宋体" w:eastAsia="仿宋_GB2312" w:cs="Times New Roman"/>
          <w:sz w:val="32"/>
          <w:szCs w:val="32"/>
          <w:highlight w:val="none"/>
          <w:lang w:val="en-US" w:eastAsia="zh-CN"/>
        </w:rPr>
        <w:t>4.08万元，机关党支部书记述职评议 会4.55万元，</w:t>
      </w:r>
      <w:r>
        <w:rPr>
          <w:rFonts w:hint="eastAsia" w:ascii="宋体" w:hAnsi="宋体" w:eastAsia="仿宋_GB2312" w:cs="Times New Roman"/>
          <w:sz w:val="32"/>
          <w:szCs w:val="32"/>
          <w:highlight w:val="none"/>
        </w:rPr>
        <w:t>。</w:t>
      </w:r>
      <w:r>
        <w:rPr>
          <w:rFonts w:hint="eastAsia" w:ascii="宋体" w:hAnsi="宋体" w:eastAsia="仿宋_GB2312" w:cs="Times New Roman"/>
          <w:sz w:val="32"/>
          <w:szCs w:val="32"/>
          <w:highlight w:val="none"/>
          <w:lang w:eastAsia="zh-CN"/>
        </w:rPr>
        <w:t>年初根据各项目实际情况，分别制定了年初绩效目标并设置相关绩效指标。</w:t>
      </w:r>
      <w:r>
        <w:rPr>
          <w:rFonts w:hint="eastAsia" w:ascii="宋体" w:hAnsi="宋体" w:eastAsia="仿宋_GB2312" w:cs="Times New Roman"/>
          <w:sz w:val="32"/>
          <w:szCs w:val="32"/>
          <w:highlight w:val="none"/>
          <w:lang w:val="en-US" w:eastAsia="zh-CN"/>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通过开展绩效评价工作，</w:t>
      </w:r>
      <w:r>
        <w:rPr>
          <w:rFonts w:hint="eastAsia" w:ascii="宋体" w:hAnsi="宋体" w:eastAsia="仿宋_GB2312" w:cs="Times New Roman"/>
          <w:color w:val="000000" w:themeColor="text1"/>
          <w:sz w:val="32"/>
          <w:szCs w:val="32"/>
          <w:lang w:val="en-US" w:eastAsia="zh-CN"/>
          <w14:textFill>
            <w14:solidFill>
              <w14:schemeClr w14:val="tx1"/>
            </w14:solidFill>
          </w14:textFill>
        </w:rPr>
        <w:t>强调了预算支出的责任和效率，在编制预算中注重资金产出，项目意义，在预算执行的全过程中更加关注资金的运用及阶段性结果</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GJjYjljNjYxOGE2NTcwMGNhZTk5MGNlNWE1NjMifQ=="/>
  </w:docVars>
  <w:rsids>
    <w:rsidRoot w:val="7E3F0B7D"/>
    <w:rsid w:val="000014A7"/>
    <w:rsid w:val="00052B5B"/>
    <w:rsid w:val="00750793"/>
    <w:rsid w:val="00774AFB"/>
    <w:rsid w:val="00E4217F"/>
    <w:rsid w:val="04AF3C95"/>
    <w:rsid w:val="05152AA0"/>
    <w:rsid w:val="0B66077A"/>
    <w:rsid w:val="0E115DFD"/>
    <w:rsid w:val="11D27EAE"/>
    <w:rsid w:val="20D97C1B"/>
    <w:rsid w:val="23553F43"/>
    <w:rsid w:val="28BA0CCD"/>
    <w:rsid w:val="298D5977"/>
    <w:rsid w:val="299664C8"/>
    <w:rsid w:val="2B5D0CFD"/>
    <w:rsid w:val="32594F85"/>
    <w:rsid w:val="34C84D2A"/>
    <w:rsid w:val="3CB11BC4"/>
    <w:rsid w:val="3E8A5A12"/>
    <w:rsid w:val="3F28132A"/>
    <w:rsid w:val="49221B6F"/>
    <w:rsid w:val="651256A6"/>
    <w:rsid w:val="6544153D"/>
    <w:rsid w:val="68CD37BD"/>
    <w:rsid w:val="69F33182"/>
    <w:rsid w:val="6C940C35"/>
    <w:rsid w:val="724A3704"/>
    <w:rsid w:val="7E3F0B7D"/>
    <w:rsid w:val="7E81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3445</Words>
  <Characters>3720</Characters>
  <Lines>5</Lines>
  <Paragraphs>7</Paragraphs>
  <TotalTime>9</TotalTime>
  <ScaleCrop>false</ScaleCrop>
  <LinksUpToDate>false</LinksUpToDate>
  <CharactersWithSpaces>3769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2022-10-20T09:11:42Z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49EE981AD63D496BA1D8AD9FC0B78F19</vt:lpwstr>
  </property>
</Properties>
</file>