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8"/>
          <w:szCs w:val="48"/>
          <w:lang w:val="en-US" w:eastAsia="zh-CN"/>
        </w:rPr>
      </w:pPr>
      <w:r>
        <w:rPr>
          <w:rFonts w:hint="eastAsia"/>
          <w:sz w:val="48"/>
          <w:szCs w:val="48"/>
          <w:lang w:val="en-US" w:eastAsia="zh-CN"/>
        </w:rPr>
        <w:t xml:space="preserve"> </w:t>
      </w:r>
    </w:p>
    <w:p>
      <w:pPr>
        <w:jc w:val="center"/>
        <w:rPr>
          <w:rFonts w:hint="eastAsia" w:ascii="黑体" w:eastAsia="黑体"/>
          <w:sz w:val="44"/>
          <w:szCs w:val="44"/>
          <w:lang w:eastAsia="zh-CN"/>
        </w:rPr>
      </w:pPr>
      <w:r>
        <w:rPr>
          <w:rFonts w:hint="eastAsia" w:ascii="黑体" w:eastAsia="黑体"/>
          <w:sz w:val="44"/>
          <w:szCs w:val="44"/>
          <w:lang w:eastAsia="zh-CN"/>
        </w:rPr>
        <w:t>朔州市朔城区文学艺术工作者联合会</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1、贯彻执行党的文艺路线、方针和政策，积极关注地方文学艺术事业的发展状况。</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2、通过文艺创作、理论研究、学术交流、人才培训、书刊出版、文艺评奖和权益保护等工作，对文艺工作者和爱好者进行业务指导，对重点作者进行培养。</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3、发展会员、推出精品，壮大全区文艺创作队伍。</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4、围绕全区中心工作，发挥业务优势，积极开展活动</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eastAsia="zh-CN"/>
        </w:rPr>
        <w:t>一</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朔城区文联</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0"/>
        </w:numPr>
        <w:ind w:firstLine="628" w:firstLineChars="200"/>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lang w:val="en-US" w:eastAsia="zh-CN"/>
        </w:rPr>
        <w:t>一、</w:t>
      </w:r>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color w:val="000000" w:themeColor="text1"/>
          <w:sz w:val="32"/>
          <w:szCs w:val="32"/>
          <w14:textFill>
            <w14:solidFill>
              <w14:schemeClr w14:val="tx1"/>
            </w14:solidFill>
          </w14:textFill>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年度收入总计</w:t>
      </w:r>
      <w:r>
        <w:rPr>
          <w:rFonts w:hint="eastAsia" w:ascii="宋体" w:hAnsi="宋体" w:eastAsia="仿宋_GB2312" w:cs="Times New Roman"/>
          <w:sz w:val="32"/>
          <w:szCs w:val="32"/>
          <w:lang w:val="en-US" w:eastAsia="zh-CN"/>
        </w:rPr>
        <w:t>80.19</w:t>
      </w:r>
      <w:r>
        <w:rPr>
          <w:rFonts w:hint="eastAsia" w:ascii="宋体" w:hAnsi="宋体" w:eastAsia="仿宋_GB2312" w:cs="Times New Roman"/>
          <w:sz w:val="32"/>
          <w:szCs w:val="32"/>
        </w:rPr>
        <w:t>万元 、支出总计</w:t>
      </w:r>
      <w:r>
        <w:rPr>
          <w:rFonts w:hint="eastAsia" w:ascii="宋体" w:hAnsi="宋体" w:eastAsia="仿宋_GB2312" w:cs="Times New Roman"/>
          <w:sz w:val="32"/>
          <w:szCs w:val="32"/>
          <w:lang w:val="en-US" w:eastAsia="zh-CN"/>
        </w:rPr>
        <w:t>80.19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32.55</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32.55</w:t>
      </w:r>
      <w:r>
        <w:rPr>
          <w:rFonts w:hint="eastAsia" w:ascii="宋体" w:hAnsi="宋体" w:eastAsia="仿宋_GB2312" w:cs="Times New Roman"/>
          <w:sz w:val="32"/>
          <w:szCs w:val="32"/>
        </w:rPr>
        <w:t>万元。主要原因是：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1、工会拨入《马邑文学</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宋体" w:hAnsi="宋体" w:eastAsia="仿宋_GB2312" w:cs="Times New Roman"/>
          <w:color w:val="000000" w:themeColor="text1"/>
          <w:sz w:val="32"/>
          <w:szCs w:val="32"/>
          <w:lang w:val="en-US" w:eastAsia="zh-CN"/>
          <w14:textFill>
            <w14:solidFill>
              <w14:schemeClr w14:val="tx1"/>
            </w14:solidFill>
          </w14:textFill>
        </w:rPr>
        <w:t>党员风采》专刊、“劳动创造幸福”劳模专刊、第二届职工书画展览系列活动经费共计14.08万元；2、退费收入；（1）收熊国章2019年1-4月养老补缴个人部分3478.92元；（2）区纪委退回郭文斐养老保险单位部分11601.84元；职业年金多缴退收7402.91元；（3）养老保险所退回养老保险159725.4元，合计18.22万元；（4）调资增资及1人补缴历年养老保险。</w:t>
      </w:r>
    </w:p>
    <w:p>
      <w:pPr>
        <w:spacing w:line="204" w:lineRule="auto"/>
        <w:ind w:firstLine="628" w:firstLineChars="200"/>
        <w:jc w:val="left"/>
        <w:rPr>
          <w:rFonts w:ascii="楷体" w:hAnsi="楷体" w:eastAsia="楷体" w:cs="楷体"/>
          <w:spacing w:val="-2"/>
          <w:sz w:val="32"/>
          <w:szCs w:val="32"/>
        </w:rPr>
      </w:pPr>
      <w:r>
        <w:rPr>
          <w:rFonts w:hint="eastAsia" w:ascii="楷体" w:hAnsi="楷体" w:eastAsia="楷体" w:cs="楷体"/>
          <w:spacing w:val="-3"/>
          <w:sz w:val="32"/>
          <w:szCs w:val="32"/>
          <w:lang w:val="en-US" w:eastAsia="zh-CN"/>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80.18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47.87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32.3</w:t>
      </w:r>
      <w:r>
        <w:rPr>
          <w:rFonts w:hint="eastAsia" w:ascii="宋体" w:hAnsi="宋体" w:eastAsia="仿宋_GB2312" w:cs="Times New Roman"/>
          <w:sz w:val="32"/>
          <w:szCs w:val="32"/>
        </w:rPr>
        <w:t>万元。</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lang w:val="en-US" w:eastAsia="zh-CN"/>
        </w:rPr>
        <w:t>三、</w:t>
      </w:r>
      <w:r>
        <w:rPr>
          <w:rFonts w:hint="eastAsia" w:ascii="楷体" w:hAnsi="楷体" w:eastAsia="楷体" w:cs="楷体"/>
          <w:spacing w:val="-3"/>
          <w:sz w:val="32"/>
          <w:szCs w:val="32"/>
        </w:rPr>
        <w:t>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63.37</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57.3</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6.07</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47.87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47.87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仿宋" w:hAnsi="仿宋" w:eastAsia="仿宋" w:cs="仿宋"/>
          <w:spacing w:val="-34"/>
          <w:sz w:val="32"/>
          <w:szCs w:val="32"/>
          <w:lang w:val="en-US" w:eastAsia="zh-CN"/>
        </w:rPr>
        <w:t>5.47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12.90</w:t>
      </w:r>
      <w:r>
        <w:rPr>
          <w:rFonts w:hint="eastAsia" w:ascii="宋体" w:hAnsi="宋体" w:eastAsia="仿宋_GB2312" w:cs="Times New Roman"/>
          <w:sz w:val="32"/>
          <w:szCs w:val="32"/>
        </w:rPr>
        <w:t>%。主要原因是：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1、工会拨入《马邑文学</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宋体" w:hAnsi="宋体" w:eastAsia="仿宋_GB2312" w:cs="Times New Roman"/>
          <w:color w:val="000000" w:themeColor="text1"/>
          <w:sz w:val="32"/>
          <w:szCs w:val="32"/>
          <w:lang w:val="en-US" w:eastAsia="zh-CN"/>
          <w14:textFill>
            <w14:solidFill>
              <w14:schemeClr w14:val="tx1"/>
            </w14:solidFill>
          </w14:textFill>
        </w:rPr>
        <w:t>党员风采》专刊、“劳动创造幸福”劳模专刊、第二届职工书画展览系列活动经费共计14.08万元；2、退费收入；（1）收熊国章2019年1-4月养老补缴个人部分3478.92元；（2）区纪委退回郭文斐养老保险单位部分11601.84元；职业年金多缴退收7402.91元；（3）养老保险所退回养老保险159725.4元，合计18.22万元；（4）调资增资及1人补缴历年养老保险</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 xml:space="preserve"> </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年度财政拨款支出</w:t>
      </w:r>
      <w:r>
        <w:rPr>
          <w:rFonts w:hint="eastAsia" w:ascii="仿宋" w:hAnsi="仿宋" w:eastAsia="仿宋" w:cs="仿宋"/>
          <w:sz w:val="32"/>
          <w:szCs w:val="32"/>
          <w:lang w:val="en-US" w:eastAsia="zh-CN"/>
        </w:rPr>
        <w:t>47.87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5.47</w:t>
      </w:r>
      <w:r>
        <w:rPr>
          <w:rFonts w:hint="eastAsia" w:ascii="宋体" w:hAnsi="宋体" w:eastAsia="仿宋_GB2312" w:cs="Times New Roman"/>
          <w:sz w:val="32"/>
          <w:szCs w:val="32"/>
        </w:rPr>
        <w:t>万元。主要原因是：</w:t>
      </w:r>
      <w:r>
        <w:rPr>
          <w:rFonts w:hint="eastAsia" w:ascii="宋体" w:hAnsi="宋体" w:eastAsia="仿宋_GB2312" w:cs="Times New Roman"/>
          <w:color w:val="000000" w:themeColor="text1"/>
          <w:sz w:val="32"/>
          <w:szCs w:val="32"/>
          <w:lang w:val="en-US" w:eastAsia="zh-CN"/>
          <w14:textFill>
            <w14:solidFill>
              <w14:schemeClr w14:val="tx1"/>
            </w14:solidFill>
          </w14:textFill>
        </w:rPr>
        <w:t>调资增资及1人补缴历年养老保险</w:t>
      </w:r>
      <w:r>
        <w:rPr>
          <w:rFonts w:hint="eastAsia" w:ascii="宋体" w:hAnsi="宋体" w:eastAsia="仿宋_GB2312" w:cs="Times New Roman"/>
          <w:sz w:val="32"/>
          <w:szCs w:val="32"/>
          <w:lang w:val="en-US" w:eastAsia="zh-CN"/>
        </w:rPr>
        <w:t>。</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47.87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lang w:val="en-US" w:eastAsia="zh-CN"/>
        </w:rPr>
        <w:t>2012901</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38.17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79.74</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一般行政管理事务（</w:t>
      </w:r>
      <w:r>
        <w:rPr>
          <w:rFonts w:hint="eastAsia" w:ascii="宋体" w:hAnsi="宋体" w:eastAsia="仿宋_GB2312" w:cs="Times New Roman"/>
          <w:sz w:val="32"/>
          <w:szCs w:val="32"/>
          <w:lang w:val="en-US" w:eastAsia="zh-CN"/>
        </w:rPr>
        <w:t>2012902</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3.47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7.25</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机关服务（</w:t>
      </w:r>
      <w:r>
        <w:rPr>
          <w:rFonts w:hint="eastAsia" w:ascii="宋体" w:hAnsi="宋体" w:eastAsia="仿宋_GB2312" w:cs="Times New Roman"/>
          <w:sz w:val="32"/>
          <w:szCs w:val="32"/>
          <w:lang w:val="en-US" w:eastAsia="zh-CN"/>
        </w:rPr>
        <w:t>2012903</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6.23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13.01</w:t>
      </w:r>
      <w:r>
        <w:rPr>
          <w:rFonts w:hint="eastAsia" w:ascii="宋体" w:hAnsi="宋体" w:eastAsia="仿宋_GB2312" w:cs="Times New Roman"/>
          <w:sz w:val="32"/>
          <w:szCs w:val="32"/>
        </w:rPr>
        <w:t>%；</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仿宋" w:hAnsi="仿宋" w:eastAsia="仿宋" w:cs="仿宋"/>
          <w:sz w:val="32"/>
          <w:szCs w:val="32"/>
          <w:lang w:val="en-US" w:eastAsia="zh-CN"/>
        </w:rPr>
        <w:t>47.87</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47.87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41.8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39.07</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35.37</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3.7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2.74</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2.74</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w:t>
      </w:r>
    </w:p>
    <w:bookmarkEnd w:id="18"/>
    <w:bookmarkEnd w:id="19"/>
    <w:p>
      <w:pPr>
        <w:numPr>
          <w:ilvl w:val="0"/>
          <w:numId w:val="0"/>
        </w:num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lang w:val="en-US" w:eastAsia="zh-CN"/>
        </w:rPr>
        <w:t>八、</w:t>
      </w: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政府性基金预算。</w:t>
      </w:r>
    </w:p>
    <w:p>
      <w:pPr>
        <w:numPr>
          <w:ilvl w:val="0"/>
          <w:numId w:val="0"/>
        </w:num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lang w:val="en-US" w:eastAsia="zh-CN"/>
        </w:rPr>
        <w:t>九、</w:t>
      </w:r>
      <w:r>
        <w:rPr>
          <w:rFonts w:hint="eastAsia" w:ascii="楷体" w:hAnsi="楷体" w:eastAsia="楷体" w:cs="楷体"/>
          <w:spacing w:val="-3"/>
          <w:sz w:val="32"/>
          <w:szCs w:val="32"/>
        </w:rPr>
        <w:t>其他重要事项的情况说明</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lang w:val="en-US" w:eastAsia="zh-CN"/>
        </w:rPr>
        <w:t>1.</w:t>
      </w:r>
      <w:r>
        <w:rPr>
          <w:rFonts w:hint="eastAsia" w:ascii="楷体" w:hAnsi="楷体" w:eastAsia="楷体" w:cs="楷体"/>
          <w:spacing w:val="-3"/>
          <w:sz w:val="32"/>
          <w:szCs w:val="32"/>
        </w:rPr>
        <w:t>机关运行经费支出情况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2.74</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增加</w:t>
      </w:r>
      <w:r>
        <w:rPr>
          <w:rFonts w:hint="eastAsia" w:ascii="宋体" w:hAnsi="宋体" w:eastAsia="仿宋_GB2312" w:cs="Times New Roman"/>
          <w:sz w:val="32"/>
          <w:szCs w:val="32"/>
          <w:lang w:val="en-US" w:eastAsia="zh-CN"/>
        </w:rPr>
        <w:t>0.04万元，其他交通费用增加。</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1.9</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1.9</w:t>
      </w:r>
      <w:r>
        <w:rPr>
          <w:rFonts w:hint="eastAsia" w:ascii="宋体" w:hAnsi="宋体" w:eastAsia="仿宋_GB2312" w:cs="Times New Roman"/>
          <w:sz w:val="32"/>
          <w:szCs w:val="32"/>
        </w:rPr>
        <w:t>万元。</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0</w:t>
      </w:r>
      <w:bookmarkStart w:id="22" w:name="_GoBack"/>
      <w:bookmarkEnd w:id="22"/>
      <w:r>
        <w:rPr>
          <w:rFonts w:hint="eastAsia" w:ascii="宋体" w:hAnsi="宋体" w:eastAsia="仿宋_GB2312" w:cs="Times New Roman"/>
          <w:sz w:val="32"/>
          <w:szCs w:val="32"/>
        </w:rPr>
        <w:t>台（套）</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0"/>
        </w:num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lang w:val="en-US" w:eastAsia="zh-CN"/>
        </w:rPr>
        <w:t>4.</w:t>
      </w: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3.47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，为《马邑文学》办刊经费</w:t>
      </w:r>
      <w:r>
        <w:rPr>
          <w:rFonts w:hint="eastAsia" w:ascii="宋体" w:hAnsi="宋体" w:eastAsia="仿宋_GB2312" w:cs="Times New Roman"/>
          <w:sz w:val="32"/>
          <w:szCs w:val="32"/>
          <w:lang w:val="en-US" w:eastAsia="zh-CN"/>
        </w:rPr>
        <w:t>3.47万元</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年初根据各项目实际情况，制定了年初绩效目标并设置相关绩效指标。</w:t>
      </w:r>
      <w:r>
        <w:rPr>
          <w:rFonts w:hint="eastAsia" w:ascii="宋体" w:hAnsi="宋体" w:eastAsia="仿宋_GB2312" w:cs="Times New Roman"/>
          <w:sz w:val="32"/>
          <w:szCs w:val="32"/>
          <w:lang w:val="en-US" w:eastAsia="zh-CN"/>
        </w:rPr>
        <w:t xml:space="preserve"> </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仿宋_GB2312" w:hAnsi="仿宋_GB2312" w:eastAsia="仿宋_GB2312" w:cs="仿宋_GB2312"/>
          <w:color w:val="000000" w:themeColor="text1"/>
          <w:kern w:val="0"/>
          <w:sz w:val="31"/>
          <w:szCs w:val="31"/>
          <w14:textFill>
            <w14:solidFill>
              <w14:schemeClr w14:val="tx1"/>
            </w14:solidFill>
          </w14:textFill>
        </w:rPr>
      </w:pPr>
      <w:r>
        <w:rPr>
          <w:rFonts w:hint="eastAsia" w:ascii="宋体" w:hAnsi="宋体" w:eastAsia="仿宋_GB2312" w:cs="Times New Roman"/>
          <w:color w:val="000000" w:themeColor="text1"/>
          <w:sz w:val="32"/>
          <w:szCs w:val="32"/>
          <w:lang w:eastAsia="zh-CN"/>
          <w14:textFill>
            <w14:solidFill>
              <w14:schemeClr w14:val="tx1"/>
            </w14:solidFill>
          </w14:textFill>
        </w:rPr>
        <w:t>通过开展绩效评价工作，</w:t>
      </w:r>
      <w:r>
        <w:rPr>
          <w:rFonts w:hint="eastAsia" w:ascii="宋体" w:hAnsi="宋体" w:eastAsia="仿宋_GB2312" w:cs="Times New Roman"/>
          <w:color w:val="000000" w:themeColor="text1"/>
          <w:sz w:val="32"/>
          <w:szCs w:val="32"/>
          <w:lang w:val="en-US" w:eastAsia="zh-CN"/>
          <w14:textFill>
            <w14:solidFill>
              <w14:schemeClr w14:val="tx1"/>
            </w14:solidFill>
          </w14:textFill>
        </w:rPr>
        <w:t>本年我区文艺阵地建设、人才培养工作等相关考核指标均得到提高，文艺创作趋势呈现稳步上升，文艺工作得到长足进步，</w:t>
      </w:r>
      <w:r>
        <w:rPr>
          <w:rFonts w:hint="eastAsia" w:ascii="宋体" w:hAnsi="宋体" w:eastAsia="仿宋_GB2312" w:cs="Times New Roman"/>
          <w:color w:val="000000" w:themeColor="text1"/>
          <w:sz w:val="32"/>
          <w:szCs w:val="32"/>
          <w:lang w:eastAsia="zh-CN"/>
          <w14:textFill>
            <w14:solidFill>
              <w14:schemeClr w14:val="tx1"/>
            </w14:solidFill>
          </w14:textFill>
        </w:rPr>
        <w:t>让反映本土文化的精品力作及优秀人才</w:t>
      </w:r>
      <w:r>
        <w:rPr>
          <w:rFonts w:hint="eastAsia" w:ascii="宋体" w:hAnsi="宋体" w:eastAsia="仿宋_GB2312" w:cs="Times New Roman"/>
          <w:color w:val="000000" w:themeColor="text1"/>
          <w:sz w:val="32"/>
          <w:szCs w:val="32"/>
          <w:lang w:val="en-US" w:eastAsia="zh-CN"/>
          <w14:textFill>
            <w14:solidFill>
              <w14:schemeClr w14:val="tx1"/>
            </w14:solidFill>
          </w14:textFill>
        </w:rPr>
        <w:t>不断</w:t>
      </w:r>
      <w:r>
        <w:rPr>
          <w:rFonts w:hint="eastAsia" w:ascii="宋体" w:hAnsi="宋体" w:eastAsia="仿宋_GB2312" w:cs="Times New Roman"/>
          <w:color w:val="000000" w:themeColor="text1"/>
          <w:sz w:val="32"/>
          <w:szCs w:val="32"/>
          <w:lang w:eastAsia="zh-CN"/>
          <w14:textFill>
            <w14:solidFill>
              <w14:schemeClr w14:val="tx1"/>
            </w14:solidFill>
          </w14:textFill>
        </w:rPr>
        <w:t>“走出去”，</w:t>
      </w:r>
      <w:r>
        <w:rPr>
          <w:rFonts w:hint="eastAsia" w:ascii="宋体" w:hAnsi="宋体" w:eastAsia="仿宋_GB2312" w:cs="Times New Roman"/>
          <w:color w:val="000000" w:themeColor="text1"/>
          <w:sz w:val="32"/>
          <w:szCs w:val="32"/>
          <w:lang w:val="en-US" w:eastAsia="zh-CN"/>
          <w14:textFill>
            <w14:solidFill>
              <w14:schemeClr w14:val="tx1"/>
            </w14:solidFill>
          </w14:textFill>
        </w:rPr>
        <w:t>进一步提升了</w:t>
      </w:r>
      <w:r>
        <w:rPr>
          <w:rFonts w:hint="eastAsia" w:ascii="宋体" w:hAnsi="宋体" w:eastAsia="仿宋_GB2312" w:cs="Times New Roman"/>
          <w:color w:val="000000" w:themeColor="text1"/>
          <w:sz w:val="32"/>
          <w:szCs w:val="32"/>
          <w:lang w:eastAsia="zh-CN"/>
          <w14:textFill>
            <w14:solidFill>
              <w14:schemeClr w14:val="tx1"/>
            </w14:solidFill>
          </w14:textFill>
        </w:rPr>
        <w:t>我区文化知名度和城市美誉度。</w:t>
      </w:r>
      <w:r>
        <w:rPr>
          <w:rFonts w:hint="eastAsia" w:ascii="宋体" w:hAnsi="宋体" w:eastAsia="仿宋_GB2312" w:cs="Times New Roman"/>
          <w:color w:val="000000" w:themeColor="text1"/>
          <w:sz w:val="32"/>
          <w:szCs w:val="32"/>
          <w:lang w:val="en-US" w:eastAsia="zh-CN"/>
          <w14:textFill>
            <w14:solidFill>
              <w14:schemeClr w14:val="tx1"/>
            </w14:solidFill>
          </w14:textFill>
        </w:rPr>
        <w:t>文艺品牌的不断升级，受到广大群众的欢迎和好评</w:t>
      </w:r>
      <w:r>
        <w:rPr>
          <w:rFonts w:hint="eastAsia" w:ascii="宋体" w:hAnsi="宋体" w:eastAsia="仿宋_GB2312" w:cs="Times New Roman"/>
          <w:color w:val="000000" w:themeColor="text1"/>
          <w:sz w:val="32"/>
          <w:szCs w:val="32"/>
          <w14:textFill>
            <w14:solidFill>
              <w14:schemeClr w14:val="tx1"/>
            </w14:solidFill>
          </w14:textFill>
        </w:rPr>
        <w:t>。</w:t>
      </w:r>
    </w:p>
    <w:p>
      <w:pPr>
        <w:spacing w:line="204" w:lineRule="auto"/>
        <w:ind w:firstLine="628" w:firstLineChars="200"/>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E15"/>
    <w:multiLevelType w:val="singleLevel"/>
    <w:tmpl w:val="32CD2E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GJjYjljNjYxOGE2NTcwMGNhZTk5MGNlNWE1NjMifQ=="/>
  </w:docVars>
  <w:rsids>
    <w:rsidRoot w:val="7E3F0B7D"/>
    <w:rsid w:val="000014A7"/>
    <w:rsid w:val="00052B5B"/>
    <w:rsid w:val="00774AFB"/>
    <w:rsid w:val="00E4217F"/>
    <w:rsid w:val="04AF3C95"/>
    <w:rsid w:val="05152AA0"/>
    <w:rsid w:val="0690303B"/>
    <w:rsid w:val="0E115DFD"/>
    <w:rsid w:val="11D27EAE"/>
    <w:rsid w:val="20D97C1B"/>
    <w:rsid w:val="23553F43"/>
    <w:rsid w:val="28BA0CCD"/>
    <w:rsid w:val="298D5977"/>
    <w:rsid w:val="299664C8"/>
    <w:rsid w:val="3CB11BC4"/>
    <w:rsid w:val="3F28132A"/>
    <w:rsid w:val="3FCE4AE6"/>
    <w:rsid w:val="4858729F"/>
    <w:rsid w:val="49221B6F"/>
    <w:rsid w:val="6544153D"/>
    <w:rsid w:val="68CD37BD"/>
    <w:rsid w:val="69F33182"/>
    <w:rsid w:val="6C940C35"/>
    <w:rsid w:val="7B78400B"/>
    <w:rsid w:val="7E3F0B7D"/>
    <w:rsid w:val="7E81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3050</Words>
  <Characters>3361</Characters>
  <Lines>5</Lines>
  <Paragraphs>7</Paragraphs>
  <TotalTime>20</TotalTime>
  <ScaleCrop>false</ScaleCrop>
  <LinksUpToDate>false</LinksUpToDate>
  <CharactersWithSpaces>3403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2022-10-20T08:42:09Z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49EE981AD63D496BA1D8AD9FC0B78F19</vt:lpwstr>
  </property>
</Properties>
</file>