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rPr>
        <w:t>朔州市朔城区科学技术协会</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widowControl/>
        <w:shd w:val="clear" w:color="auto" w:fill="FFFFFF"/>
        <w:spacing w:line="420" w:lineRule="atLeast"/>
        <w:ind w:firstLine="640" w:firstLineChars="200"/>
        <w:jc w:val="left"/>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color w:val="000000"/>
          <w:kern w:val="0"/>
          <w:sz w:val="32"/>
          <w:szCs w:val="32"/>
          <w:shd w:val="clear" w:color="auto" w:fill="FFFFFF"/>
        </w:rPr>
        <w:t>朔城区科学技术协会，是科学技术协会工作者组成的人民团体，主要任务是，团结和组织科学技术工作者，面向经济建设，开展科学技术的普及和推广。提高全民科学技术素质，促进科学技术的发展和繁荣。经常开展群众性、社会性科普工作，宣传科学知识，科学方法，科学思想。加强农民科学技术普及工作，以推广实用技术为重点，建立农村科学技术普及示范基地，开展科学技术扶贫，培养农民科技人才，帮助和引导农民依靠科学技术发展农村经济。</w:t>
      </w:r>
      <w:r>
        <w:rPr>
          <w:rFonts w:hint="eastAsia" w:ascii="仿宋" w:hAnsi="仿宋" w:eastAsia="仿宋" w:cs="仿宋"/>
          <w:color w:val="EEEEEE"/>
          <w:kern w:val="0"/>
          <w:sz w:val="32"/>
          <w:szCs w:val="32"/>
          <w:shd w:val="clear" w:color="auto" w:fill="FFFFFF"/>
        </w:rPr>
        <w:t>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widowControl/>
        <w:shd w:val="clear" w:color="auto" w:fill="FFFFFF"/>
        <w:spacing w:line="420" w:lineRule="atLeast"/>
        <w:ind w:firstLine="600" w:firstLineChars="200"/>
        <w:jc w:val="left"/>
        <w:rPr>
          <w:rFonts w:ascii="仿宋" w:hAnsi="仿宋" w:eastAsia="仿宋" w:cs="仿宋"/>
          <w:sz w:val="32"/>
          <w:szCs w:val="32"/>
        </w:rPr>
      </w:pPr>
      <w:r>
        <w:rPr>
          <w:rFonts w:hint="eastAsia" w:ascii="仿宋" w:hAnsi="仿宋" w:eastAsia="仿宋" w:cs="仿宋"/>
          <w:bCs/>
          <w:sz w:val="30"/>
          <w:szCs w:val="30"/>
        </w:rPr>
        <w:t>我单位设置2个股室</w:t>
      </w:r>
      <w:r>
        <w:rPr>
          <w:rFonts w:hint="eastAsia" w:ascii="仿宋" w:hAnsi="仿宋" w:eastAsia="仿宋" w:cs="仿宋"/>
          <w:sz w:val="32"/>
          <w:szCs w:val="32"/>
        </w:rPr>
        <w:t>，分别为：办公室、科普宣传室。</w:t>
      </w:r>
    </w:p>
    <w:p>
      <w:pPr>
        <w:widowControl/>
        <w:shd w:val="clear" w:color="auto" w:fill="FFFFFF"/>
        <w:spacing w:line="420" w:lineRule="atLeast"/>
        <w:ind w:firstLine="600" w:firstLineChars="200"/>
        <w:jc w:val="left"/>
      </w:pPr>
      <w:r>
        <w:rPr>
          <w:rFonts w:hint="eastAsia" w:ascii="仿宋" w:hAnsi="仿宋" w:eastAsia="仿宋" w:cs="仿宋"/>
          <w:bCs/>
          <w:sz w:val="30"/>
          <w:szCs w:val="30"/>
        </w:rPr>
        <w:t>从预算单位构成看，本单位部门决算只包括：本级部门决算。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ascii="宋体" w:hAnsi="宋体" w:eastAsia="仿宋" w:cs="Times New Roman"/>
          <w:sz w:val="32"/>
          <w:szCs w:val="32"/>
        </w:rPr>
      </w:pPr>
      <w:bookmarkStart w:id="7" w:name="_Toc14383_WPSOffice_Level2"/>
      <w:r>
        <w:rPr>
          <w:rFonts w:hint="eastAsia" w:ascii="宋体" w:hAnsi="宋体" w:eastAsia="仿宋_GB2312" w:cs="Times New Roman"/>
          <w:sz w:val="32"/>
          <w:szCs w:val="32"/>
        </w:rPr>
        <w:t>2021 年 度 收 入 总 计196.14万元 、 支 出 总 计196.14万元。与 2020年相比,收入总计增加47.09万元，支出总计增加47.09万元。主要原因是：</w:t>
      </w:r>
      <w:r>
        <w:rPr>
          <w:rFonts w:hint="eastAsia" w:ascii="仿宋" w:hAnsi="仿宋" w:eastAsia="仿宋" w:cs="仿宋"/>
          <w:spacing w:val="2"/>
          <w:sz w:val="32"/>
          <w:szCs w:val="32"/>
        </w:rPr>
        <w:t>当年科普行动计划资金支出增加，</w:t>
      </w:r>
      <w:r>
        <w:rPr>
          <w:rFonts w:hint="eastAsia" w:ascii="宋体" w:hAnsi="宋体" w:eastAsia="仿宋_GB2312" w:cs="Times New Roman"/>
          <w:sz w:val="32"/>
          <w:szCs w:val="32"/>
        </w:rPr>
        <w:t>死亡抚恤金支出增加。</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rPr>
        <w:t>196.05</w:t>
      </w:r>
      <w:r>
        <w:rPr>
          <w:rFonts w:hint="eastAsia" w:ascii="宋体" w:hAnsi="宋体" w:eastAsia="仿宋_GB2312" w:cs="Times New Roman"/>
          <w:sz w:val="32"/>
          <w:szCs w:val="32"/>
        </w:rPr>
        <w:t>万元，其中：财政拨款收入</w:t>
      </w:r>
      <w:r>
        <w:rPr>
          <w:rFonts w:hint="eastAsia" w:ascii="仿宋" w:hAnsi="仿宋" w:eastAsia="仿宋" w:cs="仿宋"/>
          <w:sz w:val="32"/>
          <w:szCs w:val="32"/>
        </w:rPr>
        <w:t>196.05</w:t>
      </w:r>
      <w:r>
        <w:rPr>
          <w:rFonts w:hint="eastAsia" w:ascii="宋体" w:hAnsi="宋体" w:eastAsia="仿宋_GB2312" w:cs="Times New Roman"/>
          <w:sz w:val="32"/>
          <w:szCs w:val="32"/>
        </w:rPr>
        <w:t>万元;上级补助收入0万元；事业收入 0万元；经营收入0万元；附属单位上缴收入 0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8754_WPSOffice_Level2"/>
      <w:bookmarkStart w:id="11" w:name="_Toc32119_WPSOffice_Level2"/>
      <w:r>
        <w:rPr>
          <w:rFonts w:hint="eastAsia" w:ascii="宋体" w:hAnsi="宋体" w:eastAsia="仿宋_GB2312" w:cs="Times New Roman"/>
          <w:sz w:val="32"/>
          <w:szCs w:val="32"/>
        </w:rPr>
        <w:t>本年支出合计</w:t>
      </w:r>
      <w:r>
        <w:rPr>
          <w:rFonts w:hint="eastAsia" w:ascii="仿宋" w:hAnsi="仿宋" w:eastAsia="仿宋" w:cs="仿宋"/>
          <w:sz w:val="32"/>
          <w:szCs w:val="32"/>
        </w:rPr>
        <w:t>196.05</w:t>
      </w:r>
      <w:r>
        <w:rPr>
          <w:rFonts w:hint="eastAsia" w:ascii="宋体" w:hAnsi="宋体" w:eastAsia="仿宋_GB2312" w:cs="Times New Roman"/>
          <w:sz w:val="32"/>
          <w:szCs w:val="32"/>
        </w:rPr>
        <w:t>万元 ，其中：基本支出</w:t>
      </w:r>
      <w:r>
        <w:rPr>
          <w:rFonts w:hint="eastAsia" w:ascii="仿宋" w:hAnsi="仿宋" w:eastAsia="仿宋" w:cs="仿宋"/>
          <w:sz w:val="32"/>
          <w:szCs w:val="32"/>
        </w:rPr>
        <w:t>122.03</w:t>
      </w:r>
      <w:r>
        <w:rPr>
          <w:rFonts w:hint="eastAsia" w:ascii="宋体" w:hAnsi="宋体" w:eastAsia="仿宋_GB2312" w:cs="Times New Roman"/>
          <w:sz w:val="32"/>
          <w:szCs w:val="32"/>
        </w:rPr>
        <w:t>万元 ；项目支出</w:t>
      </w:r>
      <w:r>
        <w:rPr>
          <w:rFonts w:hint="eastAsia" w:ascii="仿宋" w:hAnsi="仿宋" w:eastAsia="仿宋" w:cs="仿宋"/>
          <w:sz w:val="32"/>
          <w:szCs w:val="32"/>
        </w:rPr>
        <w:t>74.03</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3250_WPSOffice_Level2"/>
      <w:bookmarkStart w:id="13" w:name="_Toc2892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196.05</w:t>
      </w:r>
      <w:r>
        <w:rPr>
          <w:rFonts w:hint="eastAsia" w:ascii="宋体" w:hAnsi="宋体" w:eastAsia="仿宋_GB2312" w:cs="Times New Roman"/>
          <w:sz w:val="32"/>
          <w:szCs w:val="32"/>
        </w:rPr>
        <w:t>万元、支出总计196.05万元。与 2020 年相比，财政拨款收入总计增加</w:t>
      </w:r>
      <w:r>
        <w:rPr>
          <w:rFonts w:hint="eastAsia" w:ascii="仿宋" w:hAnsi="仿宋" w:eastAsia="仿宋" w:cs="仿宋"/>
          <w:spacing w:val="2"/>
          <w:sz w:val="32"/>
          <w:szCs w:val="32"/>
        </w:rPr>
        <w:t>47.08</w:t>
      </w:r>
      <w:r>
        <w:rPr>
          <w:rFonts w:hint="eastAsia" w:ascii="宋体" w:hAnsi="宋体" w:eastAsia="仿宋_GB2312" w:cs="Times New Roman"/>
          <w:sz w:val="32"/>
          <w:szCs w:val="32"/>
        </w:rPr>
        <w:t>万元，增长31.60%。主要原因是：</w:t>
      </w:r>
      <w:r>
        <w:rPr>
          <w:rFonts w:hint="eastAsia" w:ascii="仿宋" w:hAnsi="仿宋" w:eastAsia="仿宋" w:cs="仿宋"/>
          <w:spacing w:val="2"/>
          <w:sz w:val="32"/>
          <w:szCs w:val="32"/>
        </w:rPr>
        <w:t>当年科普行动计划资金支出增加，</w:t>
      </w:r>
      <w:r>
        <w:rPr>
          <w:rFonts w:hint="eastAsia" w:ascii="宋体" w:hAnsi="宋体" w:eastAsia="仿宋_GB2312" w:cs="Times New Roman"/>
          <w:sz w:val="32"/>
          <w:szCs w:val="32"/>
        </w:rPr>
        <w:t xml:space="preserve">死亡抚恤金支出增加。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2021 年度财政拨款支出</w:t>
      </w:r>
      <w:r>
        <w:rPr>
          <w:rFonts w:hint="eastAsia" w:ascii="仿宋" w:hAnsi="仿宋" w:eastAsia="仿宋" w:cs="仿宋"/>
          <w:sz w:val="32"/>
          <w:szCs w:val="32"/>
        </w:rPr>
        <w:t>196.05</w:t>
      </w:r>
      <w:r>
        <w:rPr>
          <w:rFonts w:hint="eastAsia" w:ascii="宋体" w:hAnsi="宋体" w:eastAsia="仿宋_GB2312" w:cs="Times New Roman"/>
          <w:sz w:val="32"/>
          <w:szCs w:val="32"/>
        </w:rPr>
        <w:t>万元，与 2020 年相比，财政拨款支出增加</w:t>
      </w:r>
      <w:r>
        <w:rPr>
          <w:rFonts w:hint="eastAsia" w:ascii="仿宋" w:hAnsi="仿宋" w:eastAsia="仿宋" w:cs="仿宋"/>
          <w:spacing w:val="2"/>
          <w:sz w:val="32"/>
          <w:szCs w:val="32"/>
        </w:rPr>
        <w:t>47.08</w:t>
      </w:r>
      <w:r>
        <w:rPr>
          <w:rFonts w:hint="eastAsia" w:ascii="宋体" w:hAnsi="宋体" w:eastAsia="仿宋_GB2312" w:cs="Times New Roman"/>
          <w:sz w:val="32"/>
          <w:szCs w:val="32"/>
        </w:rPr>
        <w:t>万元。主要原因是：</w:t>
      </w:r>
      <w:r>
        <w:rPr>
          <w:rFonts w:hint="eastAsia" w:ascii="仿宋" w:hAnsi="仿宋" w:eastAsia="仿宋" w:cs="仿宋"/>
          <w:spacing w:val="2"/>
          <w:sz w:val="32"/>
          <w:szCs w:val="32"/>
        </w:rPr>
        <w:t>当年科普行动计划资金支出增加，</w:t>
      </w:r>
      <w:r>
        <w:rPr>
          <w:rFonts w:hint="eastAsia" w:ascii="宋体" w:hAnsi="宋体" w:eastAsia="仿宋_GB2312" w:cs="Times New Roman"/>
          <w:sz w:val="32"/>
          <w:szCs w:val="32"/>
        </w:rPr>
        <w:t xml:space="preserve">死亡抚恤金支出增加。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27424_WPSOffice_Level2"/>
      <w:bookmarkStart w:id="15" w:name="_Toc1066_WPSOffice_Level2"/>
      <w:r>
        <w:rPr>
          <w:rFonts w:hint="eastAsia" w:ascii="宋体" w:hAnsi="宋体" w:eastAsia="仿宋_GB2312" w:cs="Times New Roman"/>
          <w:sz w:val="32"/>
          <w:szCs w:val="32"/>
        </w:rPr>
        <w:t>2021 年度财政拨款支出</w:t>
      </w:r>
      <w:r>
        <w:rPr>
          <w:rFonts w:ascii="仿宋" w:hAnsi="仿宋" w:eastAsia="仿宋" w:cs="仿宋"/>
          <w:sz w:val="32"/>
          <w:szCs w:val="32"/>
        </w:rPr>
        <w:t>1</w:t>
      </w:r>
      <w:r>
        <w:rPr>
          <w:rFonts w:hint="eastAsia" w:ascii="仿宋" w:hAnsi="仿宋" w:eastAsia="仿宋" w:cs="仿宋"/>
          <w:sz w:val="32"/>
          <w:szCs w:val="32"/>
        </w:rPr>
        <w:t>96.05</w:t>
      </w:r>
      <w:r>
        <w:rPr>
          <w:rFonts w:hint="eastAsia" w:ascii="宋体" w:hAnsi="宋体" w:eastAsia="仿宋_GB2312" w:cs="Times New Roman"/>
          <w:sz w:val="32"/>
          <w:szCs w:val="32"/>
        </w:rPr>
        <w:t>万元，主要用于以下方面：2012950</w:t>
      </w:r>
      <w:r>
        <w:rPr>
          <w:rFonts w:hint="eastAsia" w:ascii="宋体" w:hAnsi="宋体" w:eastAsia="仿宋_GB2312" w:cs="Times New Roman"/>
          <w:sz w:val="32"/>
          <w:szCs w:val="32"/>
          <w:lang w:eastAsia="zh-CN"/>
        </w:rPr>
        <w:t>事业运行</w:t>
      </w:r>
      <w:r>
        <w:rPr>
          <w:rFonts w:hint="eastAsia" w:ascii="宋体" w:hAnsi="宋体" w:eastAsia="仿宋_GB2312" w:cs="Times New Roman"/>
          <w:sz w:val="32"/>
          <w:szCs w:val="32"/>
        </w:rPr>
        <w:t>支出</w:t>
      </w:r>
      <w:r>
        <w:rPr>
          <w:rFonts w:ascii="宋体" w:hAnsi="宋体" w:eastAsia="仿宋_GB2312" w:cs="Times New Roman"/>
          <w:sz w:val="32"/>
          <w:szCs w:val="32"/>
        </w:rPr>
        <w:t>50.66</w:t>
      </w:r>
      <w:r>
        <w:rPr>
          <w:rFonts w:hint="eastAsia" w:ascii="宋体" w:hAnsi="宋体" w:eastAsia="仿宋_GB2312" w:cs="Times New Roman"/>
          <w:sz w:val="32"/>
          <w:szCs w:val="32"/>
        </w:rPr>
        <w:t>万元，占2</w:t>
      </w:r>
      <w:r>
        <w:rPr>
          <w:rFonts w:ascii="宋体" w:hAnsi="宋体" w:eastAsia="仿宋_GB2312" w:cs="Times New Roman"/>
          <w:sz w:val="32"/>
          <w:szCs w:val="32"/>
        </w:rPr>
        <w:t>5.84</w:t>
      </w:r>
      <w:r>
        <w:rPr>
          <w:rFonts w:hint="eastAsia" w:ascii="宋体" w:hAnsi="宋体" w:eastAsia="仿宋_GB2312" w:cs="Times New Roman"/>
          <w:sz w:val="32"/>
          <w:szCs w:val="32"/>
        </w:rPr>
        <w:t>%；2060101</w:t>
      </w:r>
      <w:r>
        <w:rPr>
          <w:rFonts w:hint="eastAsia" w:ascii="宋体" w:hAnsi="宋体" w:eastAsia="仿宋_GB2312" w:cs="Times New Roman"/>
          <w:sz w:val="32"/>
          <w:szCs w:val="32"/>
          <w:lang w:eastAsia="zh-CN"/>
        </w:rPr>
        <w:t>行政运行</w:t>
      </w:r>
      <w:r>
        <w:rPr>
          <w:rFonts w:hint="eastAsia" w:ascii="宋体" w:hAnsi="宋体" w:eastAsia="仿宋_GB2312" w:cs="Times New Roman"/>
          <w:sz w:val="32"/>
          <w:szCs w:val="32"/>
        </w:rPr>
        <w:t>支出</w:t>
      </w:r>
      <w:r>
        <w:rPr>
          <w:rFonts w:ascii="宋体" w:hAnsi="宋体" w:eastAsia="仿宋_GB2312" w:cs="Times New Roman"/>
          <w:sz w:val="32"/>
          <w:szCs w:val="32"/>
        </w:rPr>
        <w:t>108.12</w:t>
      </w:r>
      <w:r>
        <w:rPr>
          <w:rFonts w:hint="eastAsia" w:ascii="宋体" w:hAnsi="宋体" w:eastAsia="仿宋_GB2312" w:cs="Times New Roman"/>
          <w:sz w:val="32"/>
          <w:szCs w:val="32"/>
        </w:rPr>
        <w:t>万元，占5</w:t>
      </w:r>
      <w:r>
        <w:rPr>
          <w:rFonts w:ascii="宋体" w:hAnsi="宋体" w:eastAsia="仿宋_GB2312" w:cs="Times New Roman"/>
          <w:sz w:val="32"/>
          <w:szCs w:val="32"/>
        </w:rPr>
        <w:t>5.15</w:t>
      </w:r>
      <w:r>
        <w:rPr>
          <w:rFonts w:hint="eastAsia" w:ascii="宋体" w:hAnsi="宋体" w:eastAsia="仿宋_GB2312" w:cs="Times New Roman"/>
          <w:sz w:val="32"/>
          <w:szCs w:val="32"/>
        </w:rPr>
        <w:t>%；</w:t>
      </w:r>
      <w:bookmarkStart w:id="16" w:name="_Hlk113439800"/>
      <w:r>
        <w:rPr>
          <w:rFonts w:hint="eastAsia" w:ascii="宋体" w:hAnsi="宋体" w:eastAsia="仿宋_GB2312" w:cs="Times New Roman"/>
          <w:sz w:val="32"/>
          <w:szCs w:val="32"/>
        </w:rPr>
        <w:t>2060799</w:t>
      </w:r>
      <w:r>
        <w:rPr>
          <w:rFonts w:hint="eastAsia" w:ascii="宋体" w:hAnsi="宋体" w:eastAsia="仿宋_GB2312" w:cs="Times New Roman"/>
          <w:sz w:val="32"/>
          <w:szCs w:val="32"/>
          <w:lang w:eastAsia="zh-CN"/>
        </w:rPr>
        <w:t>其他科学技术普及</w:t>
      </w:r>
      <w:r>
        <w:rPr>
          <w:rFonts w:hint="eastAsia" w:ascii="宋体" w:hAnsi="宋体" w:eastAsia="仿宋_GB2312" w:cs="Times New Roman"/>
          <w:sz w:val="32"/>
          <w:szCs w:val="32"/>
        </w:rPr>
        <w:t>支出</w:t>
      </w:r>
      <w:r>
        <w:rPr>
          <w:rFonts w:ascii="宋体" w:hAnsi="宋体" w:eastAsia="仿宋_GB2312" w:cs="Times New Roman"/>
          <w:sz w:val="32"/>
          <w:szCs w:val="32"/>
        </w:rPr>
        <w:t>18.00</w:t>
      </w:r>
      <w:r>
        <w:rPr>
          <w:rFonts w:hint="eastAsia" w:ascii="宋体" w:hAnsi="宋体" w:eastAsia="仿宋_GB2312" w:cs="Times New Roman"/>
          <w:sz w:val="32"/>
          <w:szCs w:val="32"/>
        </w:rPr>
        <w:t>万元，占9</w:t>
      </w:r>
      <w:r>
        <w:rPr>
          <w:rFonts w:ascii="宋体" w:hAnsi="宋体" w:eastAsia="仿宋_GB2312" w:cs="Times New Roman"/>
          <w:sz w:val="32"/>
          <w:szCs w:val="32"/>
        </w:rPr>
        <w:t>.18</w:t>
      </w:r>
      <w:r>
        <w:rPr>
          <w:rFonts w:hint="eastAsia" w:ascii="宋体" w:hAnsi="宋体" w:eastAsia="仿宋_GB2312" w:cs="Times New Roman"/>
          <w:sz w:val="32"/>
          <w:szCs w:val="32"/>
        </w:rPr>
        <w:t>%；</w:t>
      </w:r>
      <w:bookmarkEnd w:id="16"/>
      <w:r>
        <w:rPr>
          <w:rFonts w:hint="eastAsia" w:ascii="宋体" w:hAnsi="宋体" w:eastAsia="仿宋_GB2312" w:cs="Times New Roman"/>
          <w:sz w:val="32"/>
          <w:szCs w:val="32"/>
        </w:rPr>
        <w:t>2080101</w:t>
      </w:r>
      <w:r>
        <w:rPr>
          <w:rFonts w:hint="eastAsia" w:ascii="宋体" w:hAnsi="宋体" w:eastAsia="仿宋_GB2312" w:cs="Times New Roman"/>
          <w:sz w:val="32"/>
          <w:szCs w:val="32"/>
          <w:lang w:eastAsia="zh-CN"/>
        </w:rPr>
        <w:t>死亡抚恤</w:t>
      </w:r>
      <w:r>
        <w:rPr>
          <w:rFonts w:hint="eastAsia" w:ascii="宋体" w:hAnsi="宋体" w:eastAsia="仿宋_GB2312" w:cs="Times New Roman"/>
          <w:sz w:val="32"/>
          <w:szCs w:val="32"/>
        </w:rPr>
        <w:t>支出</w:t>
      </w:r>
      <w:r>
        <w:rPr>
          <w:rFonts w:ascii="宋体" w:hAnsi="宋体" w:eastAsia="仿宋_GB2312" w:cs="Times New Roman"/>
          <w:sz w:val="32"/>
          <w:szCs w:val="32"/>
        </w:rPr>
        <w:t>19.27</w:t>
      </w:r>
      <w:r>
        <w:rPr>
          <w:rFonts w:hint="eastAsia" w:ascii="宋体" w:hAnsi="宋体" w:eastAsia="仿宋_GB2312" w:cs="Times New Roman"/>
          <w:sz w:val="32"/>
          <w:szCs w:val="32"/>
        </w:rPr>
        <w:t>万元，占9</w:t>
      </w:r>
      <w:r>
        <w:rPr>
          <w:rFonts w:ascii="宋体" w:hAnsi="宋体" w:eastAsia="仿宋_GB2312" w:cs="Times New Roman"/>
          <w:sz w:val="32"/>
          <w:szCs w:val="32"/>
        </w:rPr>
        <w:t>.83</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w:t>
      </w:r>
      <w:r>
        <w:rPr>
          <w:rFonts w:ascii="宋体" w:hAnsi="宋体" w:eastAsia="仿宋_GB2312" w:cs="Times New Roman"/>
          <w:sz w:val="32"/>
          <w:szCs w:val="32"/>
        </w:rPr>
        <w:t>196.05</w:t>
      </w:r>
      <w:r>
        <w:rPr>
          <w:rFonts w:hint="eastAsia" w:ascii="宋体" w:hAnsi="宋体" w:eastAsia="仿宋_GB2312" w:cs="Times New Roman"/>
          <w:sz w:val="32"/>
          <w:szCs w:val="32"/>
        </w:rPr>
        <w:t>万元，支出决算为</w:t>
      </w:r>
      <w:r>
        <w:rPr>
          <w:rFonts w:ascii="仿宋" w:hAnsi="仿宋" w:eastAsia="仿宋" w:cs="仿宋"/>
          <w:sz w:val="32"/>
          <w:szCs w:val="32"/>
        </w:rPr>
        <w:t>196.05</w:t>
      </w:r>
      <w:r>
        <w:rPr>
          <w:rFonts w:hint="eastAsia" w:ascii="宋体" w:hAnsi="宋体" w:eastAsia="仿宋_GB2312" w:cs="Times New Roman"/>
          <w:sz w:val="32"/>
          <w:szCs w:val="32"/>
        </w:rPr>
        <w:t>万元，完成当年调整预算的</w:t>
      </w:r>
      <w:r>
        <w:rPr>
          <w:rFonts w:ascii="宋体" w:hAnsi="宋体" w:eastAsia="仿宋_GB2312" w:cs="Times New Roman"/>
          <w:sz w:val="32"/>
          <w:szCs w:val="32"/>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7" w:name="_Toc21993_WPSOffice_Level2"/>
      <w:bookmarkStart w:id="18" w:name="_Toc28951_WPSOffice_Level2"/>
      <w:r>
        <w:rPr>
          <w:rFonts w:hint="eastAsia" w:ascii="宋体" w:hAnsi="宋体" w:eastAsia="仿宋_GB2312" w:cs="Times New Roman"/>
          <w:sz w:val="32"/>
          <w:szCs w:val="32"/>
        </w:rPr>
        <w:t>2021 年度财政拨款基本支出</w:t>
      </w:r>
      <w:r>
        <w:rPr>
          <w:rFonts w:hint="eastAsia" w:ascii="仿宋" w:hAnsi="仿宋" w:eastAsia="仿宋" w:cs="仿宋"/>
          <w:spacing w:val="4"/>
          <w:sz w:val="32"/>
          <w:szCs w:val="32"/>
        </w:rPr>
        <w:t>122.03</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rPr>
        <w:t>114.13</w:t>
      </w:r>
      <w:r>
        <w:rPr>
          <w:rFonts w:hint="eastAsia" w:ascii="宋体" w:hAnsi="宋体" w:eastAsia="仿宋_GB2312" w:cs="Times New Roman"/>
          <w:sz w:val="32"/>
          <w:szCs w:val="32"/>
        </w:rPr>
        <w:t>万元，主要包括工资福利支出</w:t>
      </w:r>
      <w:r>
        <w:rPr>
          <w:rFonts w:ascii="仿宋" w:hAnsi="仿宋" w:eastAsia="仿宋" w:cs="仿宋"/>
          <w:spacing w:val="4"/>
          <w:sz w:val="32"/>
          <w:szCs w:val="32"/>
        </w:rPr>
        <w:t>107.</w:t>
      </w:r>
      <w:r>
        <w:rPr>
          <w:rFonts w:hint="eastAsia" w:ascii="仿宋" w:hAnsi="仿宋" w:eastAsia="仿宋" w:cs="仿宋"/>
          <w:spacing w:val="4"/>
          <w:sz w:val="32"/>
          <w:szCs w:val="32"/>
        </w:rPr>
        <w:t>17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6.96</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7.9</w:t>
      </w:r>
      <w:r>
        <w:rPr>
          <w:rFonts w:hint="eastAsia" w:ascii="宋体" w:hAnsi="宋体" w:eastAsia="仿宋_GB2312" w:cs="Times New Roman"/>
          <w:sz w:val="32"/>
          <w:szCs w:val="32"/>
        </w:rPr>
        <w:t xml:space="preserve">万元，主要包括商品和服务支出 </w:t>
      </w:r>
      <w:r>
        <w:rPr>
          <w:rFonts w:ascii="仿宋" w:hAnsi="仿宋" w:eastAsia="仿宋" w:cs="仿宋"/>
          <w:spacing w:val="4"/>
          <w:sz w:val="32"/>
          <w:szCs w:val="32"/>
        </w:rPr>
        <w:t>7.55</w:t>
      </w:r>
      <w:r>
        <w:rPr>
          <w:rFonts w:hint="eastAsia" w:ascii="宋体" w:hAnsi="宋体" w:eastAsia="仿宋_GB2312" w:cs="Times New Roman"/>
          <w:sz w:val="32"/>
          <w:szCs w:val="32"/>
        </w:rPr>
        <w:t>万元，其中资本性支出</w:t>
      </w:r>
      <w:r>
        <w:rPr>
          <w:rFonts w:ascii="仿宋" w:hAnsi="仿宋" w:eastAsia="仿宋" w:cs="仿宋"/>
          <w:spacing w:val="4"/>
          <w:sz w:val="32"/>
          <w:szCs w:val="32"/>
        </w:rPr>
        <w:t>0.35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7"/>
      <w:bookmarkEnd w:id="18"/>
    </w:p>
    <w:p>
      <w:pPr>
        <w:ind w:firstLine="640" w:firstLineChars="200"/>
        <w:rPr>
          <w:rFonts w:ascii="宋体" w:hAnsi="宋体" w:eastAsia="仿宋_GB2312" w:cs="Times New Roman"/>
          <w:sz w:val="32"/>
          <w:szCs w:val="32"/>
        </w:rPr>
      </w:pPr>
      <w:bookmarkStart w:id="19" w:name="_Toc9131_WPSOffice_Level2"/>
      <w:bookmarkStart w:id="20" w:name="_Toc10214_WPSOffice_Level2"/>
      <w:r>
        <w:rPr>
          <w:rFonts w:hint="eastAsia" w:ascii="宋体" w:hAnsi="宋体" w:eastAsia="仿宋_GB2312" w:cs="Times New Roman"/>
          <w:sz w:val="32"/>
          <w:szCs w:val="32"/>
        </w:rPr>
        <w:t>我单位本年度无三公经费。</w:t>
      </w:r>
    </w:p>
    <w:bookmarkEnd w:id="19"/>
    <w:bookmarkEnd w:id="20"/>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2021年政府性基金预算财政拨款本年收入0万元，本年支出0万元。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56" w:firstLineChars="200"/>
        <w:rPr>
          <w:rFonts w:ascii="仿宋" w:hAnsi="仿宋" w:eastAsia="仿宋" w:cs="仿宋"/>
          <w:spacing w:val="4"/>
          <w:sz w:val="32"/>
          <w:szCs w:val="32"/>
        </w:rPr>
      </w:pPr>
      <w:r>
        <w:rPr>
          <w:rFonts w:hint="eastAsia" w:ascii="仿宋" w:hAnsi="仿宋" w:eastAsia="仿宋" w:cs="仿宋"/>
          <w:spacing w:val="4"/>
          <w:sz w:val="32"/>
          <w:szCs w:val="32"/>
        </w:rPr>
        <w:t>我单位机关运行经费支出7.9万元，比2020年增加7.9万元，增加100%，主要原因：因机构整改</w:t>
      </w:r>
      <w:r>
        <w:rPr>
          <w:rFonts w:hint="eastAsia" w:ascii="仿宋" w:hAnsi="仿宋" w:eastAsia="仿宋" w:cs="仿宋"/>
          <w:spacing w:val="4"/>
          <w:sz w:val="32"/>
          <w:szCs w:val="32"/>
          <w:lang w:eastAsia="zh-CN"/>
        </w:rPr>
        <w:t>，我单位变更</w:t>
      </w:r>
      <w:bookmarkStart w:id="23" w:name="_GoBack"/>
      <w:bookmarkEnd w:id="23"/>
      <w:r>
        <w:rPr>
          <w:rFonts w:hint="eastAsia" w:ascii="仿宋" w:hAnsi="仿宋" w:eastAsia="仿宋" w:cs="仿宋"/>
          <w:spacing w:val="4"/>
          <w:sz w:val="32"/>
          <w:szCs w:val="32"/>
          <w:lang w:eastAsia="zh-CN"/>
        </w:rPr>
        <w:t>为行政单位</w:t>
      </w:r>
      <w:r>
        <w:rPr>
          <w:rFonts w:hint="eastAsia" w:ascii="仿宋" w:hAnsi="仿宋" w:eastAsia="仿宋" w:cs="仿宋"/>
          <w:spacing w:val="4"/>
          <w:sz w:val="32"/>
          <w:szCs w:val="32"/>
        </w:rPr>
        <w:t>产生了机关运行经费。</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2021年我单位政府采购总额</w:t>
      </w:r>
      <w:r>
        <w:rPr>
          <w:rFonts w:hint="eastAsia" w:ascii="仿宋" w:hAnsi="仿宋" w:eastAsia="仿宋" w:cs="仿宋"/>
          <w:spacing w:val="4"/>
          <w:sz w:val="32"/>
          <w:szCs w:val="32"/>
        </w:rPr>
        <w:t>2.85</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rPr>
        <w:t>2.85</w:t>
      </w:r>
      <w:r>
        <w:rPr>
          <w:rFonts w:hint="eastAsia" w:ascii="宋体" w:hAnsi="宋体" w:eastAsia="仿宋_GB2312" w:cs="Times New Roman"/>
          <w:sz w:val="32"/>
          <w:szCs w:val="32"/>
        </w:rPr>
        <w:t>万元、政府采购工程0万元、政府采购服务0万元。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我单位本年未开展绩效管理工作。</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1" w:name="_Toc8549_WPSOffice_Level1"/>
      <w:bookmarkStart w:id="22"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1"/>
      <w:bookmarkEnd w:id="22"/>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iNmQ1OTgxNzZiMWQxMDQzYzBhY2IxN2U1ZGUxODcifQ=="/>
  </w:docVars>
  <w:rsids>
    <w:rsidRoot w:val="7E3F0B7D"/>
    <w:rsid w:val="000014A7"/>
    <w:rsid w:val="0004420D"/>
    <w:rsid w:val="00052447"/>
    <w:rsid w:val="00052B5B"/>
    <w:rsid w:val="00170837"/>
    <w:rsid w:val="001F74B6"/>
    <w:rsid w:val="003720A5"/>
    <w:rsid w:val="00553C2F"/>
    <w:rsid w:val="006849F2"/>
    <w:rsid w:val="006B4085"/>
    <w:rsid w:val="00774AFB"/>
    <w:rsid w:val="0091121D"/>
    <w:rsid w:val="009920A0"/>
    <w:rsid w:val="00E4217F"/>
    <w:rsid w:val="00EE71DA"/>
    <w:rsid w:val="0E115DFD"/>
    <w:rsid w:val="11D27EAE"/>
    <w:rsid w:val="20D97C1B"/>
    <w:rsid w:val="23553F43"/>
    <w:rsid w:val="294C09A8"/>
    <w:rsid w:val="299664C8"/>
    <w:rsid w:val="34F109E2"/>
    <w:rsid w:val="3EBC3D20"/>
    <w:rsid w:val="3F28132A"/>
    <w:rsid w:val="49221B6F"/>
    <w:rsid w:val="5167446D"/>
    <w:rsid w:val="5F1A7580"/>
    <w:rsid w:val="6544153D"/>
    <w:rsid w:val="68CD37BD"/>
    <w:rsid w:val="6C940C35"/>
    <w:rsid w:val="6E422A9A"/>
    <w:rsid w:val="7E3F0B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511</Words>
  <Characters>2919</Characters>
  <Lines>24</Lines>
  <Paragraphs>6</Paragraphs>
  <TotalTime>87</TotalTime>
  <ScaleCrop>false</ScaleCrop>
  <LinksUpToDate>false</LinksUpToDate>
  <CharactersWithSpaces>3424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2022-09-19T08:04:18Z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10F6D30F3AF74275A9AE48D6E17F72B0</vt:lpwstr>
  </property>
</Properties>
</file>