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
          <w:szCs w:val="48"/>
          <w:lang w:val="en-US" w:eastAsia="zh-CN"/>
        </w:rPr>
      </w:pPr>
      <w:r>
        <w:rPr>
          <w:rFonts w:hint="eastAsia"/>
          <w:sz w:val="48"/>
          <w:szCs w:val="48"/>
          <w:lang w:val="en-US" w:eastAsia="zh-CN"/>
        </w:rPr>
        <w:t xml:space="preserve"> </w:t>
      </w:r>
    </w:p>
    <w:p>
      <w:pPr>
        <w:jc w:val="center"/>
        <w:rPr>
          <w:rFonts w:hint="eastAsia" w:ascii="黑体" w:eastAsia="黑体"/>
          <w:sz w:val="44"/>
          <w:szCs w:val="44"/>
          <w:lang w:eastAsia="zh-CN"/>
        </w:rPr>
      </w:pPr>
      <w:r>
        <w:rPr>
          <w:rFonts w:hint="eastAsia" w:ascii="黑体" w:eastAsia="黑体"/>
          <w:sz w:val="44"/>
          <w:szCs w:val="44"/>
          <w:lang w:eastAsia="zh-CN"/>
        </w:rPr>
        <w:t>朔州市朔城区工商业联合会</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1、参政议政，参与国家事务和经济、社会重大决策的政治协商，发挥民主监督作用。</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2、维护会员的合法权益，在会员与政府之间发挥桥梁作用。</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3、为会员和社会提供市场、技术、商品等信息。</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4、组织会员举办和参加各种对内对外展销会、交易</w:t>
      </w:r>
      <w:r>
        <w:rPr>
          <w:rFonts w:hint="eastAsia" w:ascii="宋体" w:hAnsi="宋体" w:eastAsia="仿宋_GB2312" w:cs="Times New Roman"/>
          <w:sz w:val="32"/>
          <w:szCs w:val="32"/>
          <w:lang w:eastAsia="zh-CN"/>
        </w:rPr>
        <w:t>会。</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eastAsia="zh-CN"/>
        </w:rPr>
        <w:t>两</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朔城区工商联</w:t>
      </w:r>
      <w:r>
        <w:rPr>
          <w:rFonts w:hint="eastAsia" w:ascii="宋体" w:hAnsi="宋体" w:eastAsia="仿宋_GB2312" w:cs="Times New Roman"/>
          <w:sz w:val="32"/>
          <w:szCs w:val="32"/>
        </w:rPr>
        <w:t>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度收入总计</w:t>
      </w:r>
      <w:r>
        <w:rPr>
          <w:rFonts w:hint="eastAsia" w:ascii="宋体" w:hAnsi="宋体" w:eastAsia="仿宋_GB2312" w:cs="Times New Roman"/>
          <w:sz w:val="32"/>
          <w:szCs w:val="32"/>
          <w:lang w:val="en-US" w:eastAsia="zh-CN"/>
        </w:rPr>
        <w:t>77.12</w:t>
      </w:r>
      <w:r>
        <w:rPr>
          <w:rFonts w:hint="eastAsia" w:ascii="宋体" w:hAnsi="宋体" w:eastAsia="仿宋_GB2312" w:cs="Times New Roman"/>
          <w:sz w:val="32"/>
          <w:szCs w:val="32"/>
        </w:rPr>
        <w:t>万元 、 支出总计</w:t>
      </w:r>
      <w:r>
        <w:rPr>
          <w:rFonts w:hint="eastAsia" w:ascii="宋体" w:hAnsi="宋体" w:eastAsia="仿宋_GB2312" w:cs="Times New Roman"/>
          <w:sz w:val="32"/>
          <w:szCs w:val="32"/>
          <w:lang w:val="en-US" w:eastAsia="zh-CN"/>
        </w:rPr>
        <w:t>77.12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9.45</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9.45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1、2021年度调资增资及</w:t>
      </w:r>
      <w:r>
        <w:rPr>
          <w:rFonts w:hint="eastAsia" w:ascii="宋体" w:hAnsi="宋体" w:eastAsia="仿宋_GB2312" w:cs="Times New Roman"/>
          <w:sz w:val="32"/>
          <w:szCs w:val="32"/>
          <w:lang w:eastAsia="zh-CN"/>
        </w:rPr>
        <w:t>调入</w:t>
      </w:r>
      <w:r>
        <w:rPr>
          <w:rFonts w:hint="eastAsia" w:ascii="宋体" w:hAnsi="宋体" w:eastAsia="仿宋_GB2312" w:cs="Times New Roman"/>
          <w:sz w:val="32"/>
          <w:szCs w:val="32"/>
          <w:lang w:val="en-US" w:eastAsia="zh-CN"/>
        </w:rPr>
        <w:t>1人。2、养老保险退回往年度在职人员未录入系统缴纳的费用2.87万元，本年度退回单位，待人员进入系统后，统一缴纳。</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77.12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2.87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77.01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70.59</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6.42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74.25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6.58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9.72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2021年度调资增资及</w:t>
      </w:r>
      <w:r>
        <w:rPr>
          <w:rFonts w:hint="eastAsia" w:ascii="宋体" w:hAnsi="宋体" w:eastAsia="仿宋_GB2312" w:cs="Times New Roman"/>
          <w:sz w:val="32"/>
          <w:szCs w:val="32"/>
          <w:lang w:eastAsia="zh-CN"/>
        </w:rPr>
        <w:t>调入</w:t>
      </w:r>
      <w:r>
        <w:rPr>
          <w:rFonts w:hint="eastAsia" w:ascii="宋体" w:hAnsi="宋体" w:eastAsia="仿宋_GB2312" w:cs="Times New Roman"/>
          <w:sz w:val="32"/>
          <w:szCs w:val="32"/>
          <w:lang w:val="en-US" w:eastAsia="zh-CN"/>
        </w:rPr>
        <w:t>1人。</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6.58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2021年度调资增资及</w:t>
      </w:r>
      <w:r>
        <w:rPr>
          <w:rFonts w:hint="eastAsia" w:ascii="宋体" w:hAnsi="宋体" w:eastAsia="仿宋_GB2312" w:cs="Times New Roman"/>
          <w:sz w:val="32"/>
          <w:szCs w:val="32"/>
          <w:lang w:eastAsia="zh-CN"/>
        </w:rPr>
        <w:t>调入</w:t>
      </w:r>
      <w:r>
        <w:rPr>
          <w:rFonts w:hint="eastAsia" w:ascii="宋体" w:hAnsi="宋体" w:eastAsia="仿宋_GB2312" w:cs="Times New Roman"/>
          <w:sz w:val="32"/>
          <w:szCs w:val="32"/>
          <w:lang w:val="en-US" w:eastAsia="zh-CN"/>
        </w:rPr>
        <w:t>1人。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lang w:val="en-US" w:eastAsia="zh-CN"/>
        </w:rPr>
        <w:t>2012801</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68.26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91.93</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 xml:space="preserve">  一般行政管理事务（</w:t>
      </w:r>
      <w:r>
        <w:rPr>
          <w:rFonts w:hint="eastAsia" w:ascii="宋体" w:hAnsi="宋体" w:eastAsia="仿宋_GB2312" w:cs="Times New Roman"/>
          <w:sz w:val="32"/>
          <w:szCs w:val="32"/>
          <w:lang w:val="en-US" w:eastAsia="zh-CN"/>
        </w:rPr>
        <w:t>2012802</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5.99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8.07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74.25</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67.83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62.58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57.29</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5.29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5.25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5.25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5.25</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相比，增加</w:t>
      </w:r>
      <w:r>
        <w:rPr>
          <w:rFonts w:hint="eastAsia" w:ascii="宋体" w:hAnsi="宋体" w:eastAsia="仿宋_GB2312" w:cs="Times New Roman"/>
          <w:sz w:val="32"/>
          <w:szCs w:val="32"/>
          <w:lang w:val="en-US" w:eastAsia="zh-CN"/>
        </w:rPr>
        <w:t>0.01万元，</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lang w:eastAsia="zh-CN"/>
        </w:rPr>
        <w:t>调入</w:t>
      </w:r>
      <w:r>
        <w:rPr>
          <w:rFonts w:hint="eastAsia" w:ascii="宋体" w:hAnsi="宋体" w:eastAsia="仿宋_GB2312" w:cs="Times New Roman"/>
          <w:sz w:val="32"/>
          <w:szCs w:val="32"/>
          <w:lang w:val="en-US" w:eastAsia="zh-CN"/>
        </w:rPr>
        <w:t>1人</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bookmarkStart w:id="22" w:name="_GoBack"/>
      <w:bookmarkEnd w:id="22"/>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5.99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年初根据项目实际情况，制定了年初绩效目标并设置相关绩效指标。</w:t>
      </w:r>
      <w:r>
        <w:rPr>
          <w:rFonts w:hint="eastAsia" w:ascii="宋体" w:hAnsi="宋体" w:eastAsia="仿宋_GB2312" w:cs="Times New Roman"/>
          <w:sz w:val="32"/>
          <w:szCs w:val="32"/>
          <w:lang w:val="en-US" w:eastAsia="zh-CN"/>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通过开展绩效评价工作，</w:t>
      </w:r>
      <w:r>
        <w:rPr>
          <w:rFonts w:hint="eastAsia" w:ascii="宋体" w:hAnsi="宋体" w:eastAsia="仿宋_GB2312" w:cs="Times New Roman"/>
          <w:color w:val="000000" w:themeColor="text1"/>
          <w:sz w:val="32"/>
          <w:szCs w:val="32"/>
          <w:lang w:val="en-US" w:eastAsia="zh-CN"/>
          <w14:textFill>
            <w14:solidFill>
              <w14:schemeClr w14:val="tx1"/>
            </w14:solidFill>
          </w14:textFill>
        </w:rPr>
        <w:t>强调了预算支出的责任和效率，在编制预算中注重资金产出，项目意义，在预算执行的全过程中更加关注资金的运用及阶段性结果</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GJjYjljNjYxOGE2NTcwMGNhZTk5MGNlNWE1NjMifQ=="/>
  </w:docVars>
  <w:rsids>
    <w:rsidRoot w:val="7E3F0B7D"/>
    <w:rsid w:val="000014A7"/>
    <w:rsid w:val="00052B5B"/>
    <w:rsid w:val="00774AFB"/>
    <w:rsid w:val="00E4217F"/>
    <w:rsid w:val="04AF3C95"/>
    <w:rsid w:val="05152AA0"/>
    <w:rsid w:val="0E115DFD"/>
    <w:rsid w:val="11D27EAE"/>
    <w:rsid w:val="20D97C1B"/>
    <w:rsid w:val="23553F43"/>
    <w:rsid w:val="28BA0CCD"/>
    <w:rsid w:val="298D5977"/>
    <w:rsid w:val="299664C8"/>
    <w:rsid w:val="2E2335CF"/>
    <w:rsid w:val="3CB11BC4"/>
    <w:rsid w:val="3F28132A"/>
    <w:rsid w:val="49221B6F"/>
    <w:rsid w:val="6544153D"/>
    <w:rsid w:val="65E43BC0"/>
    <w:rsid w:val="68CD37BD"/>
    <w:rsid w:val="69F33182"/>
    <w:rsid w:val="6C940C35"/>
    <w:rsid w:val="7E3F0B7D"/>
    <w:rsid w:val="7E81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3137</Words>
  <Characters>3470</Characters>
  <Lines>5</Lines>
  <Paragraphs>7</Paragraphs>
  <TotalTime>8</TotalTime>
  <ScaleCrop>false</ScaleCrop>
  <LinksUpToDate>false</LinksUpToDate>
  <CharactersWithSpaces>3530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2022-10-20T08:54:40Z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49EE981AD63D496BA1D8AD9FC0B78F19</vt:lpwstr>
  </property>
</Properties>
</file>