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eastAsia="zh-CN"/>
        </w:rPr>
      </w:pPr>
      <w:r>
        <w:rPr>
          <w:rFonts w:hint="eastAsia" w:ascii="黑体" w:eastAsia="黑体"/>
          <w:sz w:val="44"/>
          <w:szCs w:val="44"/>
          <w:lang w:eastAsia="zh-CN"/>
        </w:rPr>
        <w:t>中国共产党朔州市朔城区委员会党校</w:t>
      </w:r>
    </w:p>
    <w:p>
      <w:pPr>
        <w:jc w:val="center"/>
        <w:rPr>
          <w:rFonts w:ascii="黑体" w:eastAsia="黑体"/>
          <w:sz w:val="44"/>
          <w:szCs w:val="44"/>
        </w:rPr>
      </w:pPr>
      <w:r>
        <w:rPr>
          <w:rFonts w:hint="eastAsia" w:ascii="黑体" w:eastAsia="黑体"/>
          <w:sz w:val="44"/>
          <w:szCs w:val="44"/>
        </w:rPr>
        <w:t>202</w:t>
      </w:r>
      <w:r>
        <w:rPr>
          <w:rFonts w:hint="eastAsia" w:ascii="黑体" w:eastAsia="黑体"/>
          <w:sz w:val="44"/>
          <w:szCs w:val="44"/>
          <w:lang w:val="en-US" w:eastAsia="zh-CN"/>
        </w:rPr>
        <w:t>1</w:t>
      </w:r>
      <w:r>
        <w:rPr>
          <w:rFonts w:hint="eastAsia" w:ascii="黑体" w:eastAsia="黑体"/>
          <w:sz w:val="44"/>
          <w:szCs w:val="44"/>
        </w:rPr>
        <w:t>年部门决算公开情况说明</w:t>
      </w:r>
    </w:p>
    <w:p>
      <w:pPr>
        <w:spacing w:line="360" w:lineRule="auto"/>
        <w:jc w:val="center"/>
        <w:rPr>
          <w:rFonts w:ascii="宋体" w:hAnsi="宋体" w:cs="宋体"/>
          <w:sz w:val="44"/>
          <w:szCs w:val="44"/>
        </w:rPr>
      </w:pPr>
      <w:bookmarkStart w:id="0" w:name="_Toc4691_WPSOffice_Level1"/>
      <w:bookmarkStart w:id="1" w:name="_Toc8044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w:t>
      </w:r>
      <w:r>
        <w:rPr>
          <w:rFonts w:hint="eastAsia" w:ascii="宋体" w:hAnsi="宋体" w:cs="宋体"/>
          <w:b/>
          <w:sz w:val="30"/>
          <w:szCs w:val="30"/>
          <w:lang w:val="en-US" w:eastAsia="zh-CN"/>
        </w:rPr>
        <w:t>1</w:t>
      </w:r>
      <w:r>
        <w:rPr>
          <w:rFonts w:hint="eastAsia" w:ascii="宋体" w:hAnsi="宋体" w:cs="宋体"/>
          <w:b/>
          <w:sz w:val="30"/>
          <w:szCs w:val="30"/>
        </w:rPr>
        <w:t>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w:t>
      </w:r>
      <w:r>
        <w:rPr>
          <w:rFonts w:hint="eastAsia" w:ascii="宋体" w:hAnsi="宋体" w:cs="宋体"/>
          <w:b/>
          <w:sz w:val="30"/>
          <w:szCs w:val="30"/>
          <w:lang w:val="en-US" w:eastAsia="zh-CN"/>
        </w:rPr>
        <w:t>1</w:t>
      </w:r>
      <w:r>
        <w:rPr>
          <w:rFonts w:hint="eastAsia" w:ascii="宋体" w:hAnsi="宋体" w:cs="宋体"/>
          <w:b/>
          <w:sz w:val="30"/>
          <w:szCs w:val="30"/>
        </w:rPr>
        <w:t>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614" w:firstLineChars="1200"/>
        <w:rPr>
          <w:rFonts w:ascii="宋体" w:hAnsi="宋体" w:cs="宋体"/>
          <w:b/>
          <w:sz w:val="30"/>
          <w:szCs w:val="30"/>
        </w:rPr>
      </w:pPr>
    </w:p>
    <w:p>
      <w:pPr>
        <w:rPr>
          <w:rFonts w:ascii="宋体" w:hAnsi="宋体" w:cs="宋体"/>
          <w:b/>
          <w:sz w:val="30"/>
          <w:szCs w:val="30"/>
        </w:rPr>
      </w:pP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ind w:firstLine="640" w:firstLineChars="200"/>
        <w:rPr>
          <w:rFonts w:hint="default"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lang w:eastAsia="zh-CN"/>
        </w:rPr>
        <w:t>发挥干部教育培训主渠道作用，培训轮训全区乡科级领导干部、企事业单位领导人员、村（社区）党组织书记和基层党员。</w:t>
      </w:r>
    </w:p>
    <w:p>
      <w:pPr>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2、</w:t>
      </w:r>
      <w:r>
        <w:rPr>
          <w:rFonts w:hint="eastAsia" w:ascii="宋体" w:hAnsi="宋体" w:eastAsia="仿宋_GB2312" w:cs="Times New Roman"/>
          <w:sz w:val="32"/>
          <w:szCs w:val="32"/>
          <w:lang w:eastAsia="zh-CN"/>
        </w:rPr>
        <w:t>对学员进行马克思列宁主义、毛泽东思想、邓小平理论、“三个代表”重要思想、科学发展观、习近平新时代中国特色社会主义思想教育和党性教育，引导学员增强“四个意识”，坚定“四个自信”，坚决维护以习近平同志为核心的党中央权威和集中统一领导，自觉在思想上政治上行动上同党中央保持高度一致</w:t>
      </w:r>
      <w:r>
        <w:rPr>
          <w:rFonts w:hint="eastAsia" w:ascii="宋体" w:hAnsi="宋体" w:eastAsia="仿宋_GB2312" w:cs="Times New Roman"/>
          <w:sz w:val="32"/>
          <w:szCs w:val="32"/>
        </w:rPr>
        <w:t>；</w:t>
      </w:r>
    </w:p>
    <w:p>
      <w:pPr>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lang w:eastAsia="zh-CN"/>
        </w:rPr>
        <w:t>开展重大理论问题和现实问题研究，承担区委决策咨询服务，发挥新型重要智库作用</w:t>
      </w:r>
      <w:r>
        <w:rPr>
          <w:rFonts w:hint="eastAsia" w:ascii="宋体" w:hAnsi="宋体" w:eastAsia="仿宋_GB2312" w:cs="Times New Roman"/>
          <w:sz w:val="32"/>
          <w:szCs w:val="32"/>
        </w:rPr>
        <w:t>。</w:t>
      </w:r>
    </w:p>
    <w:p>
      <w:pPr>
        <w:ind w:firstLine="640" w:firstLineChars="200"/>
        <w:rPr>
          <w:rFonts w:hint="eastAsia" w:ascii="宋体" w:hAnsi="宋体" w:eastAsia="仿宋_GB2312" w:cs="Times New Roman"/>
          <w:sz w:val="32"/>
          <w:szCs w:val="32"/>
        </w:rPr>
      </w:pPr>
      <w:r>
        <w:rPr>
          <w:rFonts w:hint="eastAsia" w:ascii="宋体" w:hAnsi="宋体" w:eastAsia="仿宋_GB2312" w:cs="Times New Roman"/>
          <w:sz w:val="32"/>
          <w:szCs w:val="32"/>
          <w:lang w:val="en-US" w:eastAsia="zh-CN"/>
        </w:rPr>
        <w:t>4、</w:t>
      </w:r>
      <w:r>
        <w:rPr>
          <w:rFonts w:hint="eastAsia" w:ascii="宋体" w:hAnsi="宋体" w:eastAsia="仿宋_GB2312" w:cs="Times New Roman"/>
          <w:sz w:val="32"/>
          <w:szCs w:val="32"/>
          <w:lang w:eastAsia="zh-CN"/>
        </w:rPr>
        <w:t>受区委委托，举办各类专题研讨班，研讨重要理论、战略和方针政策问题</w:t>
      </w:r>
      <w:r>
        <w:rPr>
          <w:rFonts w:hint="eastAsia" w:ascii="宋体" w:hAnsi="宋体" w:eastAsia="仿宋_GB2312" w:cs="Times New Roman"/>
          <w:sz w:val="32"/>
          <w:szCs w:val="32"/>
        </w:rPr>
        <w:t>。</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val="en-US" w:eastAsia="zh-CN"/>
        </w:rPr>
        <w:t>5、</w:t>
      </w:r>
      <w:r>
        <w:rPr>
          <w:rFonts w:hint="eastAsia" w:ascii="宋体" w:hAnsi="宋体" w:eastAsia="仿宋_GB2312" w:cs="Times New Roman"/>
          <w:sz w:val="32"/>
          <w:szCs w:val="32"/>
          <w:lang w:eastAsia="zh-CN"/>
        </w:rPr>
        <w:t>完成区委交办的其他任务</w:t>
      </w:r>
    </w:p>
    <w:p>
      <w:pPr>
        <w:pStyle w:val="2"/>
        <w:numPr>
          <w:ilvl w:val="0"/>
          <w:numId w:val="0"/>
        </w:numPr>
        <w:rPr>
          <w:rFonts w:hint="default" w:eastAsia="宋体"/>
          <w:lang w:val="en-US" w:eastAsia="zh-CN"/>
        </w:rPr>
      </w:pPr>
    </w:p>
    <w:p>
      <w:pPr>
        <w:ind w:firstLine="640" w:firstLineChars="200"/>
        <w:rPr>
          <w:rFonts w:ascii="仿宋" w:hAnsi="仿宋" w:eastAsia="仿宋" w:cs="仿宋"/>
          <w:sz w:val="32"/>
          <w:szCs w:val="32"/>
        </w:rPr>
      </w:pPr>
      <w:r>
        <w:rPr>
          <w:rFonts w:hint="eastAsia" w:ascii="仿宋" w:hAnsi="仿宋" w:eastAsia="仿宋" w:cs="仿宋"/>
          <w:sz w:val="32"/>
          <w:szCs w:val="32"/>
        </w:rPr>
        <w:t xml:space="preserve">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pStyle w:val="2"/>
        <w:numPr>
          <w:ilvl w:val="0"/>
          <w:numId w:val="2"/>
        </w:num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本单位设置3个股室，分别是：办公室,负责本单位日常工作运行。</w:t>
      </w:r>
    </w:p>
    <w:p>
      <w:pPr>
        <w:pStyle w:val="2"/>
        <w:numPr>
          <w:ilvl w:val="0"/>
          <w:numId w:val="2"/>
        </w:num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教务室，编制教学安排，管理、协调教学活动，反映教学情况。</w:t>
      </w:r>
    </w:p>
    <w:p>
      <w:pPr>
        <w:spacing w:line="800" w:lineRule="exact"/>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3、科研咨询室，编制科研计划，管理、协调科研活动，科研档案。组织评估、宣传科研成果。聚焦区委、区政府中心工作、重大决策部署、社会热点难点问题，进行深入研究，提出对策建议。</w:t>
      </w:r>
    </w:p>
    <w:p>
      <w:pPr>
        <w:ind w:firstLine="640" w:firstLineChars="200"/>
        <w:rPr>
          <w:rFonts w:hint="eastAsia" w:ascii="宋体" w:hAnsi="宋体" w:eastAsia="仿宋_GB2312" w:cs="Times New Roman"/>
          <w:kern w:val="2"/>
          <w:sz w:val="32"/>
          <w:szCs w:val="32"/>
          <w:lang w:val="en-US" w:eastAsia="zh-CN" w:bidi="ar-SA"/>
        </w:rPr>
      </w:pPr>
      <w:r>
        <w:rPr>
          <w:rFonts w:hint="eastAsia" w:ascii="宋体" w:hAnsi="宋体" w:eastAsia="仿宋_GB2312" w:cs="Times New Roman"/>
          <w:kern w:val="2"/>
          <w:sz w:val="32"/>
          <w:szCs w:val="32"/>
          <w:lang w:val="en-US" w:eastAsia="zh-CN" w:bidi="ar-SA"/>
        </w:rPr>
        <w:t>从预算单位构成看，本单位部门决算只包括：本级部门决算。</w:t>
      </w:r>
    </w:p>
    <w:p>
      <w:pPr>
        <w:rPr>
          <w:rFonts w:hint="eastAsia" w:ascii="宋体" w:hAnsi="宋体" w:eastAsia="仿宋_GB2312" w:cs="Times New Roman"/>
          <w:kern w:val="2"/>
          <w:sz w:val="32"/>
          <w:szCs w:val="32"/>
          <w:lang w:val="en-US" w:eastAsia="zh-CN" w:bidi="ar-SA"/>
        </w:rPr>
      </w:pP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ascii="黑体" w:hAnsi="黑体" w:eastAsia="黑体" w:cs="黑体"/>
          <w:snapToGrid w:val="0"/>
          <w:color w:val="000000"/>
          <w:spacing w:val="-4"/>
          <w:kern w:val="0"/>
          <w:sz w:val="32"/>
          <w:szCs w:val="32"/>
        </w:rPr>
      </w:pPr>
      <w:bookmarkStart w:id="3" w:name="_Toc25884_WPSOffice_Level1"/>
      <w:bookmarkStart w:id="4" w:name="_Toc17336_WPSOffice_Level1"/>
      <w:r>
        <w:rPr>
          <w:rFonts w:ascii="黑体" w:hAnsi="黑体" w:eastAsia="黑体" w:cs="黑体"/>
          <w:snapToGrid w:val="0"/>
          <w:color w:val="000000"/>
          <w:spacing w:val="-4"/>
          <w:kern w:val="0"/>
          <w:sz w:val="32"/>
          <w:szCs w:val="32"/>
        </w:rPr>
        <w:t>第三部分</w:t>
      </w:r>
      <w:r>
        <w:rPr>
          <w:rFonts w:hint="eastAsia" w:ascii="黑体" w:hAnsi="黑体" w:eastAsia="黑体" w:cs="黑体"/>
          <w:snapToGrid w:val="0"/>
          <w:color w:val="000000"/>
          <w:spacing w:val="-4"/>
          <w:kern w:val="0"/>
          <w:sz w:val="32"/>
          <w:szCs w:val="32"/>
        </w:rPr>
        <w:t>202</w:t>
      </w:r>
      <w:r>
        <w:rPr>
          <w:rFonts w:hint="eastAsia" w:ascii="黑体" w:hAnsi="黑体" w:eastAsia="黑体" w:cs="黑体"/>
          <w:snapToGrid w:val="0"/>
          <w:color w:val="000000"/>
          <w:spacing w:val="-4"/>
          <w:kern w:val="0"/>
          <w:sz w:val="32"/>
          <w:szCs w:val="32"/>
          <w:lang w:val="en-US" w:eastAsia="zh-CN"/>
        </w:rPr>
        <w:t>1</w:t>
      </w:r>
      <w:r>
        <w:rPr>
          <w:rFonts w:ascii="黑体" w:hAnsi="黑体" w:eastAsia="黑体" w:cs="黑体"/>
          <w:snapToGrid w:val="0"/>
          <w:color w:val="000000"/>
          <w:spacing w:val="-4"/>
          <w:kern w:val="0"/>
          <w:sz w:val="32"/>
          <w:szCs w:val="32"/>
        </w:rPr>
        <w:t>年度部门决算情况说明</w:t>
      </w:r>
      <w:bookmarkEnd w:id="3"/>
      <w:bookmarkEnd w:id="4"/>
    </w:p>
    <w:p>
      <w:pPr>
        <w:numPr>
          <w:ilvl w:val="0"/>
          <w:numId w:val="3"/>
        </w:numPr>
        <w:rPr>
          <w:rFonts w:ascii="仿宋" w:hAnsi="仿宋" w:eastAsia="仿宋" w:cs="仿宋"/>
          <w:sz w:val="32"/>
          <w:szCs w:val="32"/>
        </w:rPr>
      </w:pPr>
      <w:bookmarkStart w:id="5" w:name="_Toc1653_WPSOffice_Level2"/>
      <w:bookmarkStart w:id="6" w:name="_Toc22880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宋体" w:hAnsi="宋体" w:eastAsia="仿宋_GB2312" w:cs="Times New Roman"/>
          <w:sz w:val="32"/>
          <w:szCs w:val="32"/>
          <w:lang w:eastAsia="zh-CN"/>
        </w:rPr>
      </w:pPr>
      <w:bookmarkStart w:id="7" w:name="_Toc1438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 度 收 入 总 计</w:t>
      </w:r>
      <w:r>
        <w:rPr>
          <w:rFonts w:hint="eastAsia" w:ascii="宋体" w:hAnsi="宋体" w:eastAsia="仿宋_GB2312" w:cs="Times New Roman"/>
          <w:sz w:val="32"/>
          <w:szCs w:val="32"/>
          <w:lang w:val="en-US" w:eastAsia="zh-CN"/>
        </w:rPr>
        <w:t>935.67</w:t>
      </w:r>
      <w:r>
        <w:rPr>
          <w:rFonts w:hint="eastAsia" w:ascii="宋体" w:hAnsi="宋体" w:eastAsia="仿宋_GB2312" w:cs="Times New Roman"/>
          <w:sz w:val="32"/>
          <w:szCs w:val="32"/>
        </w:rPr>
        <w:t>万元 、 支 出 总 计</w:t>
      </w:r>
      <w:r>
        <w:rPr>
          <w:rFonts w:hint="eastAsia" w:ascii="宋体" w:hAnsi="宋体" w:eastAsia="仿宋_GB2312" w:cs="Times New Roman"/>
          <w:sz w:val="32"/>
          <w:szCs w:val="32"/>
          <w:lang w:val="en-US" w:eastAsia="zh-CN"/>
        </w:rPr>
        <w:t>935.67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年相比,收入总计增加</w:t>
      </w:r>
      <w:r>
        <w:rPr>
          <w:rFonts w:hint="eastAsia" w:ascii="宋体" w:hAnsi="宋体" w:eastAsia="仿宋_GB2312" w:cs="Times New Roman"/>
          <w:sz w:val="32"/>
          <w:szCs w:val="32"/>
          <w:lang w:val="en-US" w:eastAsia="zh-CN"/>
        </w:rPr>
        <w:t>630.57</w:t>
      </w:r>
      <w:r>
        <w:rPr>
          <w:rFonts w:hint="eastAsia" w:ascii="宋体" w:hAnsi="宋体" w:eastAsia="仿宋_GB2312" w:cs="Times New Roman"/>
          <w:sz w:val="32"/>
          <w:szCs w:val="32"/>
        </w:rPr>
        <w:t>万元，支出总计增加</w:t>
      </w:r>
      <w:r>
        <w:rPr>
          <w:rFonts w:hint="eastAsia" w:ascii="宋体" w:hAnsi="宋体" w:eastAsia="仿宋_GB2312" w:cs="Times New Roman"/>
          <w:sz w:val="32"/>
          <w:szCs w:val="32"/>
          <w:lang w:val="en-US" w:eastAsia="zh-CN"/>
        </w:rPr>
        <w:t>630.57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新校区办公物资及后勤设施购置费用增加。</w:t>
      </w:r>
    </w:p>
    <w:p>
      <w:pPr>
        <w:spacing w:line="204" w:lineRule="auto"/>
        <w:jc w:val="left"/>
        <w:rPr>
          <w:rFonts w:hint="eastAsia" w:ascii="楷体" w:hAnsi="楷体" w:eastAsia="楷体" w:cs="楷体"/>
          <w:spacing w:val="-2"/>
          <w:sz w:val="32"/>
          <w:szCs w:val="32"/>
          <w:lang w:eastAsia="zh-CN"/>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w:t>
      </w:r>
      <w:r>
        <w:rPr>
          <w:rFonts w:hint="eastAsia" w:ascii="仿宋" w:hAnsi="仿宋" w:eastAsia="仿宋" w:cs="仿宋"/>
          <w:sz w:val="32"/>
          <w:szCs w:val="32"/>
          <w:lang w:val="en-US" w:eastAsia="zh-CN"/>
        </w:rPr>
        <w:t>935.67</w:t>
      </w:r>
      <w:r>
        <w:rPr>
          <w:rFonts w:hint="eastAsia" w:ascii="宋体" w:hAnsi="宋体" w:eastAsia="仿宋_GB2312" w:cs="Times New Roman"/>
          <w:sz w:val="32"/>
          <w:szCs w:val="32"/>
        </w:rPr>
        <w:t>万元，其中：财政拨款收入</w:t>
      </w:r>
      <w:r>
        <w:rPr>
          <w:rFonts w:hint="eastAsia" w:ascii="仿宋" w:hAnsi="仿宋" w:eastAsia="仿宋" w:cs="仿宋"/>
          <w:sz w:val="32"/>
          <w:szCs w:val="32"/>
          <w:lang w:val="en-US" w:eastAsia="zh-CN"/>
        </w:rPr>
        <w:t>935.67</w:t>
      </w:r>
      <w:r>
        <w:rPr>
          <w:rFonts w:hint="eastAsia" w:ascii="宋体" w:hAnsi="宋体" w:eastAsia="仿宋_GB2312" w:cs="Times New Roman"/>
          <w:sz w:val="32"/>
          <w:szCs w:val="32"/>
        </w:rPr>
        <w:t>万元;上级补助收入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万元；事业收入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万元；附属单位上缴收入 </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 xml:space="preserve"> 万元；其他收入</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仿宋" w:hAnsi="仿宋" w:eastAsia="仿宋" w:cs="仿宋"/>
          <w:sz w:val="32"/>
          <w:szCs w:val="32"/>
        </w:rPr>
      </w:pPr>
      <w:bookmarkStart w:id="10" w:name="_Toc32119_WPSOffice_Level2"/>
      <w:bookmarkStart w:id="11" w:name="_Toc8754_WPSOffice_Level2"/>
      <w:r>
        <w:rPr>
          <w:rFonts w:hint="eastAsia" w:ascii="宋体" w:hAnsi="宋体" w:eastAsia="仿宋_GB2312" w:cs="Times New Roman"/>
          <w:sz w:val="32"/>
          <w:szCs w:val="32"/>
        </w:rPr>
        <w:t>本年支出合计</w:t>
      </w:r>
      <w:r>
        <w:rPr>
          <w:rFonts w:hint="eastAsia" w:ascii="仿宋" w:hAnsi="仿宋" w:eastAsia="仿宋" w:cs="仿宋"/>
          <w:sz w:val="32"/>
          <w:szCs w:val="32"/>
          <w:lang w:val="en-US" w:eastAsia="zh-CN"/>
        </w:rPr>
        <w:t>935.67</w:t>
      </w:r>
      <w:r>
        <w:rPr>
          <w:rFonts w:hint="eastAsia" w:ascii="宋体" w:hAnsi="宋体" w:eastAsia="仿宋_GB2312" w:cs="Times New Roman"/>
          <w:sz w:val="32"/>
          <w:szCs w:val="32"/>
        </w:rPr>
        <w:t>万元 ，其中：基本支出</w:t>
      </w:r>
      <w:r>
        <w:rPr>
          <w:rFonts w:hint="eastAsia" w:ascii="仿宋" w:hAnsi="仿宋" w:eastAsia="仿宋" w:cs="仿宋"/>
          <w:sz w:val="32"/>
          <w:szCs w:val="32"/>
          <w:lang w:val="en-US" w:eastAsia="zh-CN"/>
        </w:rPr>
        <w:t>283.37</w:t>
      </w:r>
      <w:r>
        <w:rPr>
          <w:rFonts w:hint="eastAsia" w:ascii="宋体" w:hAnsi="宋体" w:eastAsia="仿宋_GB2312" w:cs="Times New Roman"/>
          <w:sz w:val="32"/>
          <w:szCs w:val="32"/>
        </w:rPr>
        <w:t>万元 ；项目支出</w:t>
      </w:r>
      <w:r>
        <w:rPr>
          <w:rFonts w:hint="eastAsia" w:ascii="仿宋" w:hAnsi="仿宋" w:eastAsia="仿宋" w:cs="仿宋"/>
          <w:sz w:val="32"/>
          <w:szCs w:val="32"/>
          <w:lang w:val="en-US" w:eastAsia="zh-CN"/>
        </w:rPr>
        <w:t>652.3</w:t>
      </w:r>
      <w:r>
        <w:rPr>
          <w:rFonts w:hint="eastAsia" w:ascii="宋体" w:hAnsi="宋体" w:eastAsia="仿宋_GB2312" w:cs="Times New Roman"/>
          <w:sz w:val="32"/>
          <w:szCs w:val="32"/>
        </w:rPr>
        <w:t>万元；上缴上级支出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万元，经营支出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万元；对附属单位补助支出</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年度财政拨款收入总计</w:t>
      </w:r>
      <w:r>
        <w:rPr>
          <w:rFonts w:hint="eastAsia" w:ascii="仿宋" w:hAnsi="仿宋" w:eastAsia="仿宋" w:cs="仿宋"/>
          <w:sz w:val="32"/>
          <w:szCs w:val="32"/>
          <w:lang w:val="en-US" w:eastAsia="zh-CN"/>
        </w:rPr>
        <w:t>935.67</w:t>
      </w:r>
      <w:r>
        <w:rPr>
          <w:rFonts w:hint="eastAsia" w:ascii="宋体" w:hAnsi="宋体" w:eastAsia="仿宋_GB2312" w:cs="Times New Roman"/>
          <w:sz w:val="32"/>
          <w:szCs w:val="32"/>
        </w:rPr>
        <w:t>万元、支出总计</w:t>
      </w:r>
      <w:r>
        <w:rPr>
          <w:rFonts w:hint="eastAsia" w:ascii="宋体" w:hAnsi="宋体" w:eastAsia="仿宋_GB2312" w:cs="Times New Roman"/>
          <w:sz w:val="32"/>
          <w:szCs w:val="32"/>
          <w:lang w:val="en-US" w:eastAsia="zh-CN"/>
        </w:rPr>
        <w:t>935.67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年相比，财政拨款收入总计增加</w:t>
      </w:r>
      <w:r>
        <w:rPr>
          <w:rFonts w:hint="eastAsia" w:ascii="宋体" w:hAnsi="宋体" w:eastAsia="仿宋_GB2312" w:cs="Times New Roman"/>
          <w:sz w:val="32"/>
          <w:szCs w:val="32"/>
          <w:lang w:val="en-US" w:eastAsia="zh-CN"/>
        </w:rPr>
        <w:t>630.57</w:t>
      </w:r>
      <w:r>
        <w:rPr>
          <w:rFonts w:hint="eastAsia" w:ascii="宋体" w:hAnsi="宋体" w:eastAsia="仿宋_GB2312" w:cs="Times New Roman"/>
          <w:sz w:val="32"/>
          <w:szCs w:val="32"/>
        </w:rPr>
        <w:t>万元，增长</w:t>
      </w:r>
      <w:r>
        <w:rPr>
          <w:rFonts w:hint="eastAsia" w:ascii="宋体" w:hAnsi="宋体" w:eastAsia="仿宋_GB2312" w:cs="Times New Roman"/>
          <w:sz w:val="32"/>
          <w:szCs w:val="32"/>
          <w:lang w:val="en-US" w:eastAsia="zh-CN"/>
        </w:rPr>
        <w:t>206.68</w:t>
      </w:r>
      <w:r>
        <w:rPr>
          <w:rFonts w:hint="eastAsia" w:ascii="宋体" w:hAnsi="宋体" w:eastAsia="仿宋_GB2312" w:cs="Times New Roman"/>
          <w:sz w:val="32"/>
          <w:szCs w:val="32"/>
        </w:rPr>
        <w:t>%。主要原因是：</w:t>
      </w:r>
      <w:r>
        <w:rPr>
          <w:rFonts w:hint="eastAsia" w:ascii="宋体" w:hAnsi="宋体" w:eastAsia="仿宋_GB2312" w:cs="Times New Roman"/>
          <w:sz w:val="32"/>
          <w:szCs w:val="32"/>
          <w:lang w:eastAsia="zh-CN"/>
        </w:rPr>
        <w:t>新校区办公物资及后勤设施购置费用增加。</w:t>
      </w:r>
      <w:r>
        <w:rPr>
          <w:rFonts w:hint="eastAsia" w:ascii="宋体" w:hAnsi="宋体" w:eastAsia="仿宋_GB2312" w:cs="Times New Roman"/>
          <w:sz w:val="32"/>
          <w:szCs w:val="32"/>
        </w:rPr>
        <w:t xml:space="preserve"> </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935.67</w:t>
      </w:r>
      <w:r>
        <w:rPr>
          <w:rFonts w:hint="eastAsia" w:ascii="宋体" w:hAnsi="宋体" w:eastAsia="仿宋_GB2312" w:cs="Times New Roman"/>
          <w:sz w:val="32"/>
          <w:szCs w:val="32"/>
        </w:rPr>
        <w:t xml:space="preserve">万元，与 </w:t>
      </w:r>
      <w:r>
        <w:rPr>
          <w:rFonts w:hint="eastAsia" w:ascii="宋体" w:hAnsi="宋体" w:eastAsia="仿宋_GB2312" w:cs="Times New Roman"/>
          <w:sz w:val="32"/>
          <w:szCs w:val="32"/>
          <w:lang w:eastAsia="zh-CN"/>
        </w:rPr>
        <w:t>2020</w:t>
      </w:r>
      <w:r>
        <w:rPr>
          <w:rFonts w:hint="eastAsia" w:ascii="宋体" w:hAnsi="宋体" w:eastAsia="仿宋_GB2312" w:cs="Times New Roman"/>
          <w:sz w:val="32"/>
          <w:szCs w:val="32"/>
        </w:rPr>
        <w:t xml:space="preserve"> 年相比，财政拨款支出增加</w:t>
      </w:r>
      <w:r>
        <w:rPr>
          <w:rFonts w:hint="eastAsia" w:ascii="宋体" w:hAnsi="宋体" w:eastAsia="仿宋_GB2312" w:cs="Times New Roman"/>
          <w:sz w:val="32"/>
          <w:szCs w:val="32"/>
          <w:lang w:val="en-US" w:eastAsia="zh-CN"/>
        </w:rPr>
        <w:t>630.57</w:t>
      </w:r>
      <w:r>
        <w:rPr>
          <w:rFonts w:hint="eastAsia" w:ascii="宋体" w:hAnsi="宋体" w:eastAsia="仿宋_GB2312" w:cs="Times New Roman"/>
          <w:sz w:val="32"/>
          <w:szCs w:val="32"/>
        </w:rPr>
        <w:t>万元。主要原因是：</w:t>
      </w:r>
      <w:r>
        <w:rPr>
          <w:rFonts w:hint="eastAsia" w:ascii="宋体" w:hAnsi="宋体" w:eastAsia="仿宋_GB2312" w:cs="Times New Roman"/>
          <w:sz w:val="32"/>
          <w:szCs w:val="32"/>
          <w:lang w:eastAsia="zh-CN"/>
        </w:rPr>
        <w:t>新校区办公物资及后勤设施购置费用增加。</w:t>
      </w:r>
      <w:r>
        <w:rPr>
          <w:rFonts w:hint="eastAsia" w:ascii="宋体" w:hAnsi="宋体" w:eastAsia="仿宋_GB2312" w:cs="Times New Roman"/>
          <w:sz w:val="32"/>
          <w:szCs w:val="32"/>
        </w:rPr>
        <w:t xml:space="preserve"> </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年度财政拨款支出</w:t>
      </w:r>
      <w:r>
        <w:rPr>
          <w:rFonts w:hint="eastAsia" w:ascii="仿宋" w:hAnsi="仿宋" w:eastAsia="仿宋" w:cs="仿宋"/>
          <w:sz w:val="32"/>
          <w:szCs w:val="32"/>
          <w:lang w:val="en-US" w:eastAsia="zh-CN"/>
        </w:rPr>
        <w:t>935.67</w:t>
      </w:r>
      <w:r>
        <w:rPr>
          <w:rFonts w:hint="eastAsia" w:ascii="宋体" w:hAnsi="宋体" w:eastAsia="仿宋_GB2312" w:cs="Times New Roman"/>
          <w:sz w:val="32"/>
          <w:szCs w:val="32"/>
        </w:rPr>
        <w:t>万元，主要用于以下方面：</w:t>
      </w:r>
      <w:r>
        <w:rPr>
          <w:rFonts w:hint="eastAsia" w:ascii="宋体" w:hAnsi="宋体" w:eastAsia="仿宋_GB2312" w:cs="Times New Roman"/>
          <w:sz w:val="32"/>
          <w:szCs w:val="32"/>
          <w:lang w:val="en-US" w:eastAsia="zh-CN"/>
        </w:rPr>
        <w:t>2050802</w:t>
      </w:r>
      <w:r>
        <w:rPr>
          <w:rFonts w:hint="eastAsia" w:ascii="宋体" w:hAnsi="宋体" w:eastAsia="仿宋_GB2312" w:cs="Times New Roman"/>
          <w:sz w:val="32"/>
          <w:szCs w:val="32"/>
          <w:lang w:eastAsia="zh-CN"/>
        </w:rPr>
        <w:t>干部教育</w:t>
      </w:r>
      <w:r>
        <w:rPr>
          <w:rFonts w:hint="eastAsia" w:ascii="宋体" w:hAnsi="宋体" w:eastAsia="仿宋_GB2312" w:cs="Times New Roman"/>
          <w:sz w:val="32"/>
          <w:szCs w:val="32"/>
        </w:rPr>
        <w:t>支出</w:t>
      </w:r>
      <w:r>
        <w:rPr>
          <w:rFonts w:hint="eastAsia" w:ascii="宋体" w:hAnsi="宋体" w:eastAsia="仿宋_GB2312" w:cs="Times New Roman"/>
          <w:sz w:val="32"/>
          <w:szCs w:val="32"/>
          <w:lang w:val="en-US" w:eastAsia="zh-CN"/>
        </w:rPr>
        <w:t>915.67</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97.86</w:t>
      </w:r>
      <w:r>
        <w:rPr>
          <w:rFonts w:hint="eastAsia" w:ascii="宋体" w:hAnsi="宋体" w:eastAsia="仿宋_GB2312" w:cs="Times New Roman"/>
          <w:sz w:val="32"/>
          <w:szCs w:val="32"/>
        </w:rPr>
        <w:t>%；</w:t>
      </w:r>
      <w:r>
        <w:rPr>
          <w:rFonts w:hint="eastAsia" w:ascii="宋体" w:hAnsi="宋体" w:eastAsia="仿宋_GB2312" w:cs="Times New Roman"/>
          <w:sz w:val="32"/>
          <w:szCs w:val="32"/>
          <w:lang w:val="en-US" w:eastAsia="zh-CN"/>
        </w:rPr>
        <w:t>2069999</w:t>
      </w:r>
      <w:r>
        <w:rPr>
          <w:rFonts w:hint="eastAsia" w:ascii="宋体" w:hAnsi="宋体" w:eastAsia="仿宋_GB2312" w:cs="Times New Roman"/>
          <w:sz w:val="32"/>
          <w:szCs w:val="32"/>
        </w:rPr>
        <w:t>其他科学技术支出支出</w:t>
      </w:r>
      <w:r>
        <w:rPr>
          <w:rFonts w:hint="eastAsia" w:ascii="宋体" w:hAnsi="宋体" w:eastAsia="仿宋_GB2312" w:cs="Times New Roman"/>
          <w:sz w:val="32"/>
          <w:szCs w:val="32"/>
          <w:lang w:val="en-US" w:eastAsia="zh-CN"/>
        </w:rPr>
        <w:t>20</w:t>
      </w:r>
      <w:r>
        <w:rPr>
          <w:rFonts w:hint="eastAsia" w:ascii="宋体" w:hAnsi="宋体" w:eastAsia="仿宋_GB2312" w:cs="Times New Roman"/>
          <w:sz w:val="32"/>
          <w:szCs w:val="32"/>
        </w:rPr>
        <w:t>万元，占</w:t>
      </w:r>
      <w:r>
        <w:rPr>
          <w:rFonts w:hint="eastAsia" w:ascii="宋体" w:hAnsi="宋体" w:eastAsia="仿宋_GB2312" w:cs="Times New Roman"/>
          <w:sz w:val="32"/>
          <w:szCs w:val="32"/>
          <w:lang w:val="en-US" w:eastAsia="zh-CN"/>
        </w:rPr>
        <w:t>2.14</w:t>
      </w:r>
      <w:r>
        <w:rPr>
          <w:rFonts w:hint="eastAsia" w:ascii="宋体" w:hAnsi="宋体" w:eastAsia="仿宋_GB2312" w:cs="Times New Roman"/>
          <w:sz w:val="32"/>
          <w:szCs w:val="32"/>
        </w:rPr>
        <w:t>%</w:t>
      </w:r>
      <w:r>
        <w:rPr>
          <w:rFonts w:hint="eastAsia" w:ascii="仿宋" w:hAnsi="仿宋" w:eastAsia="仿宋" w:cs="仿宋"/>
          <w:spacing w:val="4"/>
          <w:sz w:val="32"/>
          <w:szCs w:val="32"/>
        </w:rPr>
        <w:t>。</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年度一般公共预算财政拨款支出当年调整预算数</w:t>
      </w:r>
      <w:r>
        <w:rPr>
          <w:rFonts w:hint="eastAsia" w:ascii="宋体" w:hAnsi="宋体" w:eastAsia="仿宋_GB2312" w:cs="Times New Roman"/>
          <w:sz w:val="32"/>
          <w:szCs w:val="32"/>
          <w:lang w:val="en-US" w:eastAsia="zh-CN"/>
        </w:rPr>
        <w:t>935.67</w:t>
      </w:r>
      <w:r>
        <w:rPr>
          <w:rFonts w:hint="eastAsia" w:ascii="宋体" w:hAnsi="宋体" w:eastAsia="仿宋_GB2312" w:cs="Times New Roman"/>
          <w:sz w:val="32"/>
          <w:szCs w:val="32"/>
        </w:rPr>
        <w:t>万元，支出决算为</w:t>
      </w:r>
      <w:r>
        <w:rPr>
          <w:rFonts w:hint="eastAsia" w:ascii="仿宋" w:hAnsi="仿宋" w:eastAsia="仿宋" w:cs="仿宋"/>
          <w:sz w:val="32"/>
          <w:szCs w:val="32"/>
          <w:lang w:val="en-US" w:eastAsia="zh-CN"/>
        </w:rPr>
        <w:t>935.67</w:t>
      </w:r>
      <w:r>
        <w:rPr>
          <w:rFonts w:hint="eastAsia" w:ascii="宋体" w:hAnsi="宋体" w:eastAsia="仿宋_GB2312" w:cs="Times New Roman"/>
          <w:sz w:val="32"/>
          <w:szCs w:val="32"/>
        </w:rPr>
        <w:t>万元，完成当年调整预算的</w:t>
      </w:r>
      <w:r>
        <w:rPr>
          <w:rFonts w:hint="eastAsia" w:ascii="宋体" w:hAnsi="宋体" w:eastAsia="仿宋_GB2312" w:cs="Times New Roman"/>
          <w:sz w:val="32"/>
          <w:szCs w:val="32"/>
          <w:lang w:val="en-US" w:eastAsia="zh-CN"/>
        </w:rPr>
        <w:t>100</w:t>
      </w:r>
      <w:r>
        <w:rPr>
          <w:rFonts w:hint="eastAsia" w:ascii="宋体" w:hAnsi="宋体" w:eastAsia="仿宋_GB2312" w:cs="Times New Roman"/>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8951_WPSOffice_Level2"/>
      <w:bookmarkStart w:id="17" w:name="_Toc21993_WPSOffice_Level2"/>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 xml:space="preserve"> 年度财政拨款基本支出</w:t>
      </w:r>
      <w:r>
        <w:rPr>
          <w:rFonts w:hint="eastAsia" w:ascii="仿宋" w:hAnsi="仿宋" w:eastAsia="仿宋" w:cs="仿宋"/>
          <w:spacing w:val="4"/>
          <w:sz w:val="32"/>
          <w:szCs w:val="32"/>
          <w:lang w:val="en-US" w:eastAsia="zh-CN"/>
        </w:rPr>
        <w:t>283.36</w:t>
      </w:r>
      <w:r>
        <w:rPr>
          <w:rFonts w:hint="eastAsia" w:ascii="宋体" w:hAnsi="宋体" w:eastAsia="仿宋_GB2312" w:cs="Times New Roman"/>
          <w:sz w:val="32"/>
          <w:szCs w:val="32"/>
        </w:rPr>
        <w:t>万元，其中：人员经费</w:t>
      </w:r>
      <w:r>
        <w:rPr>
          <w:rFonts w:hint="eastAsia" w:ascii="仿宋" w:hAnsi="仿宋" w:eastAsia="仿宋" w:cs="仿宋"/>
          <w:spacing w:val="4"/>
          <w:sz w:val="32"/>
          <w:szCs w:val="32"/>
          <w:lang w:val="en-US" w:eastAsia="zh-CN"/>
        </w:rPr>
        <w:t>270.31</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lang w:val="en-US" w:eastAsia="zh-CN"/>
        </w:rPr>
        <w:t>257.7</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lang w:val="en-US" w:eastAsia="zh-CN"/>
        </w:rPr>
        <w:t>12.62</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lang w:val="en-US" w:eastAsia="zh-CN"/>
        </w:rPr>
        <w:t>13.05</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lang w:val="en-US" w:eastAsia="zh-CN"/>
        </w:rPr>
        <w:t>13.05</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p>
    <w:p>
      <w:pPr>
        <w:ind w:firstLine="640" w:firstLineChars="200"/>
        <w:rPr>
          <w:rFonts w:ascii="宋体" w:hAnsi="宋体" w:eastAsia="仿宋_GB2312" w:cs="Times New Roman"/>
          <w:sz w:val="32"/>
          <w:szCs w:val="32"/>
        </w:rPr>
      </w:pPr>
      <w:bookmarkStart w:id="18" w:name="_Toc9131_WPSOffice_Level2"/>
      <w:bookmarkStart w:id="19" w:name="_Toc10214_WPSOffice_Level2"/>
      <w:r>
        <w:rPr>
          <w:rFonts w:hint="eastAsia" w:ascii="宋体" w:hAnsi="宋体" w:eastAsia="仿宋_GB2312" w:cs="Times New Roman"/>
          <w:sz w:val="32"/>
          <w:szCs w:val="32"/>
          <w:lang w:val="en-US" w:eastAsia="zh-CN"/>
        </w:rPr>
        <w:t>我单位无三公经费</w:t>
      </w:r>
      <w:r>
        <w:rPr>
          <w:rFonts w:hint="eastAsia" w:ascii="宋体" w:hAnsi="宋体" w:eastAsia="仿宋_GB2312" w:cs="Times New Roman"/>
          <w:sz w:val="32"/>
          <w:szCs w:val="32"/>
        </w:rPr>
        <w:t>。</w:t>
      </w:r>
    </w:p>
    <w:bookmarkEnd w:id="18"/>
    <w:bookmarkEnd w:id="19"/>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w:t>
      </w:r>
      <w:r>
        <w:rPr>
          <w:rFonts w:hint="eastAsia" w:ascii="宋体" w:hAnsi="宋体" w:eastAsia="仿宋_GB2312" w:cs="Times New Roman"/>
          <w:sz w:val="32"/>
          <w:szCs w:val="32"/>
          <w:lang w:eastAsia="zh-CN"/>
        </w:rPr>
        <w:t>我单位无</w:t>
      </w:r>
      <w:r>
        <w:rPr>
          <w:rFonts w:hint="eastAsia" w:ascii="宋体" w:hAnsi="宋体" w:eastAsia="仿宋_GB2312" w:cs="Times New Roman"/>
          <w:sz w:val="32"/>
          <w:szCs w:val="32"/>
        </w:rPr>
        <w:t>政府性基金预算财政拨款</w:t>
      </w:r>
      <w:r>
        <w:rPr>
          <w:rFonts w:hint="eastAsia" w:ascii="宋体" w:hAnsi="宋体" w:eastAsia="仿宋_GB2312" w:cs="Times New Roman"/>
          <w:sz w:val="32"/>
          <w:szCs w:val="32"/>
          <w:lang w:eastAsia="zh-CN"/>
        </w:rPr>
        <w:t>。</w:t>
      </w:r>
    </w:p>
    <w:p>
      <w:pPr>
        <w:numPr>
          <w:ilvl w:val="0"/>
          <w:numId w:val="4"/>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ascii="宋体" w:hAnsi="宋体" w:eastAsia="仿宋_GB2312" w:cs="Times New Roman"/>
          <w:sz w:val="32"/>
          <w:szCs w:val="32"/>
        </w:rPr>
      </w:pPr>
      <w:r>
        <w:rPr>
          <w:rFonts w:hint="eastAsia" w:ascii="仿宋" w:hAnsi="仿宋" w:eastAsia="仿宋" w:cs="仿宋"/>
          <w:sz w:val="32"/>
          <w:szCs w:val="32"/>
        </w:rPr>
        <w:t>我单位为事业单位无机关运行经费。</w:t>
      </w:r>
    </w:p>
    <w:p>
      <w:pPr>
        <w:ind w:firstLine="640" w:firstLineChars="200"/>
        <w:rPr>
          <w:rFonts w:ascii="宋体" w:hAnsi="宋体" w:eastAsia="仿宋_GB2312" w:cs="Times New Roman"/>
          <w:sz w:val="32"/>
          <w:szCs w:val="32"/>
        </w:rPr>
      </w:pP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年我单位政府采购总额</w:t>
      </w:r>
      <w:r>
        <w:rPr>
          <w:rFonts w:hint="eastAsia" w:ascii="仿宋" w:hAnsi="仿宋" w:eastAsia="仿宋" w:cs="仿宋"/>
          <w:spacing w:val="4"/>
          <w:sz w:val="32"/>
          <w:szCs w:val="32"/>
          <w:lang w:val="en-US" w:eastAsia="zh-CN"/>
        </w:rPr>
        <w:t>511.7</w:t>
      </w:r>
      <w:r>
        <w:rPr>
          <w:rFonts w:hint="eastAsia" w:ascii="宋体" w:hAnsi="宋体" w:eastAsia="仿宋_GB2312" w:cs="Times New Roman"/>
          <w:sz w:val="32"/>
          <w:szCs w:val="32"/>
        </w:rPr>
        <w:t>万元，其中：政府采购货物</w:t>
      </w:r>
      <w:r>
        <w:rPr>
          <w:rFonts w:hint="eastAsia" w:ascii="仿宋" w:hAnsi="仿宋" w:eastAsia="仿宋" w:cs="仿宋"/>
          <w:spacing w:val="4"/>
          <w:sz w:val="32"/>
          <w:szCs w:val="32"/>
          <w:lang w:val="en-US" w:eastAsia="zh-CN"/>
        </w:rPr>
        <w:t>511.7</w:t>
      </w:r>
      <w:r>
        <w:rPr>
          <w:rFonts w:hint="eastAsia" w:ascii="宋体" w:hAnsi="宋体" w:eastAsia="仿宋_GB2312" w:cs="Times New Roman"/>
          <w:sz w:val="32"/>
          <w:szCs w:val="32"/>
        </w:rPr>
        <w:t>万元、政府采购工程</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万元、政府采购服务</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截至</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年12月31日，本部门共有车辆</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辆，其中，主要领导干部用车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辆、机要通信用车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辆、应急保障用车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辆、执法执勤用车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辆、特种专业技术用车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辆、离退休干部用车</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辆、其他用车</w:t>
      </w:r>
      <w:r>
        <w:rPr>
          <w:rFonts w:hint="eastAsia" w:ascii="宋体" w:hAnsi="宋体" w:eastAsia="仿宋_GB2312" w:cs="Times New Roman"/>
          <w:sz w:val="32"/>
          <w:szCs w:val="32"/>
          <w:lang w:val="en-US" w:eastAsia="zh-CN"/>
        </w:rPr>
        <w:t>1</w:t>
      </w:r>
      <w:r>
        <w:rPr>
          <w:rFonts w:hint="eastAsia" w:ascii="宋体" w:hAnsi="宋体" w:eastAsia="仿宋_GB2312" w:cs="Times New Roman"/>
          <w:sz w:val="32"/>
          <w:szCs w:val="32"/>
        </w:rPr>
        <w:t>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w:t>
      </w:r>
    </w:p>
    <w:p>
      <w:pPr>
        <w:numPr>
          <w:ilvl w:val="0"/>
          <w:numId w:val="5"/>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绩效管理情况</w:t>
      </w:r>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应包括</w:t>
      </w:r>
      <w:r>
        <w:rPr>
          <w:rFonts w:hint="eastAsia" w:ascii="宋体" w:hAnsi="宋体" w:eastAsia="仿宋_GB2312" w:cs="Times New Roman"/>
          <w:sz w:val="32"/>
          <w:szCs w:val="32"/>
          <w:lang w:eastAsia="zh-CN"/>
        </w:rPr>
        <w:t>2021</w:t>
      </w:r>
      <w:r>
        <w:rPr>
          <w:rFonts w:hint="eastAsia" w:ascii="宋体" w:hAnsi="宋体" w:eastAsia="仿宋_GB2312" w:cs="Times New Roman"/>
          <w:sz w:val="32"/>
          <w:szCs w:val="32"/>
        </w:rPr>
        <w:t>年度单位实行绩效目标管理的项目</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w:t>
      </w:r>
      <w:r>
        <w:rPr>
          <w:rFonts w:hint="eastAsia" w:ascii="宋体" w:hAnsi="宋体" w:eastAsia="仿宋_GB2312" w:cs="Times New Roman"/>
          <w:sz w:val="32"/>
          <w:szCs w:val="32"/>
          <w:lang w:val="en-US" w:eastAsia="zh-CN"/>
        </w:rPr>
        <w:t>632.3</w:t>
      </w:r>
      <w:r>
        <w:rPr>
          <w:rFonts w:hint="eastAsia" w:ascii="宋体" w:hAnsi="宋体" w:eastAsia="仿宋_GB2312" w:cs="Times New Roman"/>
          <w:sz w:val="32"/>
          <w:szCs w:val="32"/>
        </w:rPr>
        <w:t>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autoSpaceDN w:val="0"/>
        <w:spacing w:line="600" w:lineRule="exact"/>
        <w:ind w:firstLine="640" w:firstLineChars="200"/>
        <w:textAlignment w:val="center"/>
        <w:rPr>
          <w:rFonts w:ascii="仿宋_GB2312" w:hAnsi="仿宋_GB2312" w:eastAsia="仿宋_GB2312" w:cs="仿宋_GB2312"/>
          <w:color w:val="000000"/>
          <w:kern w:val="0"/>
          <w:sz w:val="31"/>
          <w:szCs w:val="31"/>
        </w:rPr>
      </w:pPr>
      <w:r>
        <w:rPr>
          <w:rFonts w:hint="eastAsia" w:ascii="宋体" w:hAnsi="宋体" w:eastAsia="仿宋_GB2312" w:cs="Times New Roman"/>
          <w:sz w:val="32"/>
          <w:szCs w:val="32"/>
          <w:lang w:eastAsia="zh-CN"/>
        </w:rPr>
        <w:t>通过开</w:t>
      </w:r>
      <w:r>
        <w:rPr>
          <w:rFonts w:hint="eastAsia" w:ascii="宋体" w:hAnsi="宋体" w:eastAsia="仿宋_GB2312" w:cs="Times New Roman"/>
          <w:sz w:val="32"/>
          <w:szCs w:val="32"/>
        </w:rPr>
        <w:t>展绩效管理目标工作</w:t>
      </w:r>
      <w:r>
        <w:rPr>
          <w:rFonts w:hint="eastAsia" w:ascii="宋体" w:hAnsi="宋体" w:eastAsia="仿宋_GB2312" w:cs="Times New Roman"/>
          <w:sz w:val="32"/>
          <w:szCs w:val="32"/>
          <w:lang w:eastAsia="zh-CN"/>
        </w:rPr>
        <w:t>，一</w:t>
      </w:r>
      <w:r>
        <w:rPr>
          <w:rFonts w:hint="eastAsia" w:ascii="仿宋" w:hAnsi="仿宋" w:eastAsia="仿宋"/>
          <w:bCs/>
          <w:color w:val="000000"/>
          <w:kern w:val="32"/>
          <w:sz w:val="32"/>
          <w:szCs w:val="32"/>
        </w:rPr>
        <w:t>制定绩效目标编制管理要求，推进财政的绩效目标编报工作。二是推进预算部门开展绩效目标公开试点，提高部门人员对绩效管理政策的知晓度和绩效工作的参与度。三是将绩效目标作为项目前期评审和预算审核的重要内容之一。</w:t>
      </w:r>
      <w:bookmarkStart w:id="22" w:name="_GoBack"/>
      <w:bookmarkEnd w:id="22"/>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20" w:name="_Toc8549_WPSOffice_Level1"/>
      <w:bookmarkStart w:id="21"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20"/>
      <w:bookmarkEnd w:id="21"/>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w:t>
      </w:r>
      <w:r>
        <w:rPr>
          <w:rFonts w:hint="eastAsia" w:ascii="仿宋" w:hAnsi="仿宋" w:eastAsia="仿宋" w:cs="仿宋"/>
          <w:spacing w:val="4"/>
          <w:sz w:val="32"/>
          <w:szCs w:val="32"/>
          <w:lang w:eastAsia="zh-CN"/>
        </w:rPr>
        <w:t>拨</w:t>
      </w:r>
      <w:r>
        <w:rPr>
          <w:rFonts w:hint="eastAsia" w:ascii="仿宋" w:hAnsi="仿宋" w:eastAsia="仿宋" w:cs="仿宋"/>
          <w:spacing w:val="4"/>
          <w:sz w:val="32"/>
          <w:szCs w:val="32"/>
        </w:rPr>
        <w:t>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5F08F4"/>
    <w:multiLevelType w:val="singleLevel"/>
    <w:tmpl w:val="F15F08F4"/>
    <w:lvl w:ilvl="0" w:tentative="0">
      <w:start w:val="1"/>
      <w:numFmt w:val="decimal"/>
      <w:suff w:val="nothing"/>
      <w:lvlText w:val="%1、"/>
      <w:lvlJc w:val="left"/>
    </w:lvl>
  </w:abstractNum>
  <w:abstractNum w:abstractNumId="1">
    <w:nsid w:val="0CAE0828"/>
    <w:multiLevelType w:val="singleLevel"/>
    <w:tmpl w:val="0CAE0828"/>
    <w:lvl w:ilvl="0" w:tentative="0">
      <w:start w:val="8"/>
      <w:numFmt w:val="chineseCounting"/>
      <w:suff w:val="nothing"/>
      <w:lvlText w:val="%1、"/>
      <w:lvlJc w:val="left"/>
      <w:rPr>
        <w:rFonts w:hint="eastAsia"/>
      </w:rPr>
    </w:lvl>
  </w:abstractNum>
  <w:abstractNum w:abstractNumId="2">
    <w:nsid w:val="32CD2E15"/>
    <w:multiLevelType w:val="singleLevel"/>
    <w:tmpl w:val="32CD2E15"/>
    <w:lvl w:ilvl="0" w:tentative="0">
      <w:start w:val="1"/>
      <w:numFmt w:val="chineseCounting"/>
      <w:suff w:val="nothing"/>
      <w:lvlText w:val="（%1）"/>
      <w:lvlJc w:val="left"/>
      <w:rPr>
        <w:rFonts w:hint="eastAsia"/>
      </w:rPr>
    </w:lvl>
  </w:abstractNum>
  <w:abstractNum w:abstractNumId="3">
    <w:nsid w:val="40B6F801"/>
    <w:multiLevelType w:val="singleLevel"/>
    <w:tmpl w:val="40B6F801"/>
    <w:lvl w:ilvl="0" w:tentative="0">
      <w:start w:val="4"/>
      <w:numFmt w:val="decimal"/>
      <w:lvlText w:val="%1."/>
      <w:lvlJc w:val="left"/>
      <w:pPr>
        <w:tabs>
          <w:tab w:val="left" w:pos="312"/>
        </w:tabs>
      </w:pPr>
    </w:lvl>
  </w:abstractNum>
  <w:abstractNum w:abstractNumId="4">
    <w:nsid w:val="6AF4BF66"/>
    <w:multiLevelType w:val="singleLevel"/>
    <w:tmpl w:val="6AF4BF66"/>
    <w:lvl w:ilvl="0" w:tentative="0">
      <w:start w:val="1"/>
      <w:numFmt w:val="chineseCounting"/>
      <w:suff w:val="nothing"/>
      <w:lvlText w:val="%1、"/>
      <w:lvlJc w:val="left"/>
      <w:rPr>
        <w:rFonts w:hint="eastAsia"/>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xZjE5ODJiMDNmMWNlNWNhYjRmZGQwODdmODNlMGIifQ=="/>
  </w:docVars>
  <w:rsids>
    <w:rsidRoot w:val="7E3F0B7D"/>
    <w:rsid w:val="000014A7"/>
    <w:rsid w:val="00052B5B"/>
    <w:rsid w:val="00774AFB"/>
    <w:rsid w:val="00E4217F"/>
    <w:rsid w:val="0E115DFD"/>
    <w:rsid w:val="11D27EAE"/>
    <w:rsid w:val="16743087"/>
    <w:rsid w:val="20D97C1B"/>
    <w:rsid w:val="23553F43"/>
    <w:rsid w:val="299664C8"/>
    <w:rsid w:val="3F28132A"/>
    <w:rsid w:val="49221B6F"/>
    <w:rsid w:val="4B32004B"/>
    <w:rsid w:val="6544153D"/>
    <w:rsid w:val="68CD37BD"/>
    <w:rsid w:val="6C940C35"/>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2899</Words>
  <Characters>3105</Characters>
  <Lines>5</Lines>
  <Paragraphs>7</Paragraphs>
  <TotalTime>6</TotalTime>
  <ScaleCrop>false</ScaleCrop>
  <LinksUpToDate>false</LinksUpToDate>
  <CharactersWithSpaces>3169</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Administrator</cp:lastModifiedBy>
  <cp:lastPrinted>2021-10-28T11:45:00Z</cp:lastPrinted>
  <dcterms:modified xsi:type="dcterms:W3CDTF">2022-09-14T08:09:43Z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ICV">
    <vt:lpwstr>D3C4406458814BD8AD9D1C37837D521F</vt:lpwstr>
  </property>
</Properties>
</file>