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中国共产党朔州市朔城区委员会党校</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eastAsia="zh-CN"/>
        </w:rPr>
        <w:t>发挥干部教育培训主渠道作用，培训轮训全区乡科级领导干部、企事业单位领导人员、村（社区）党组织书记和基层党员。</w:t>
      </w:r>
    </w:p>
    <w:p>
      <w:pPr>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lang w:eastAsia="zh-CN"/>
        </w:rPr>
        <w:t>对学员进行马克思列宁主义、毛泽东思想、邓小平理论、“三个代表”重要思想、科学发展观、习近平新时代中国特色社会主义思想教育和党性教育，引导学员增强“四个意识”，坚定“四个自信”，坚决维护以习近平同志为核心的党中央权威和集中统一领导，自觉在思想上政治上行动上同党中央保持高度一致</w:t>
      </w:r>
      <w:r>
        <w:rPr>
          <w:rFonts w:hint="eastAsia" w:ascii="宋体" w:hAnsi="宋体" w:eastAsia="仿宋_GB2312" w:cs="Times New Roman"/>
          <w:sz w:val="32"/>
          <w:szCs w:val="32"/>
        </w:rPr>
        <w:t>；</w:t>
      </w:r>
    </w:p>
    <w:p>
      <w:pPr>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lang w:eastAsia="zh-CN"/>
        </w:rPr>
        <w:t>开展重大理论问题和现实问题研究，承担区委决策咨询服务，发挥新型重要智库作用</w:t>
      </w:r>
      <w:r>
        <w:rPr>
          <w:rFonts w:hint="eastAsia" w:ascii="宋体" w:hAnsi="宋体" w:eastAsia="仿宋_GB2312" w:cs="Times New Roman"/>
          <w:sz w:val="32"/>
          <w:szCs w:val="32"/>
        </w:rPr>
        <w:t>。</w:t>
      </w:r>
    </w:p>
    <w:p>
      <w:pPr>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lang w:eastAsia="zh-CN"/>
        </w:rPr>
        <w:t>受区委委托，举办各类专题研讨班，研讨重要理论、战略和方针政策问题</w:t>
      </w:r>
      <w:r>
        <w:rPr>
          <w:rFonts w:hint="eastAsia" w:ascii="宋体" w:hAnsi="宋体" w:eastAsia="仿宋_GB2312" w:cs="Times New Roman"/>
          <w:sz w:val="32"/>
          <w:szCs w:val="32"/>
        </w:rPr>
        <w:t>。</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val="en-US" w:eastAsia="zh-CN"/>
        </w:rPr>
        <w:t>5、</w:t>
      </w:r>
      <w:r>
        <w:rPr>
          <w:rFonts w:hint="eastAsia" w:ascii="宋体" w:hAnsi="宋体" w:eastAsia="仿宋_GB2312" w:cs="Times New Roman"/>
          <w:sz w:val="32"/>
          <w:szCs w:val="32"/>
          <w:lang w:eastAsia="zh-CN"/>
        </w:rPr>
        <w:t>完成区委交办的其他任务</w:t>
      </w:r>
    </w:p>
    <w:p>
      <w:pPr>
        <w:pStyle w:val="2"/>
        <w:numPr>
          <w:ilvl w:val="0"/>
          <w:numId w:val="0"/>
        </w:numPr>
        <w:rPr>
          <w:rFonts w:hint="default" w:eastAsia="宋体"/>
          <w:lang w:val="en-US" w:eastAsia="zh-CN"/>
        </w:rPr>
      </w:pP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2"/>
        <w:numPr>
          <w:ilvl w:val="0"/>
          <w:numId w:val="2"/>
        </w:num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本单位设置3个股室，分别是：办公室,负责本单位日常工作运行。</w:t>
      </w:r>
    </w:p>
    <w:p>
      <w:pPr>
        <w:pStyle w:val="2"/>
        <w:numPr>
          <w:ilvl w:val="0"/>
          <w:numId w:val="2"/>
        </w:num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教务室，编制教学安排，管理、协调教学活动，反映教学情况。</w:t>
      </w:r>
    </w:p>
    <w:p>
      <w:pPr>
        <w:spacing w:line="800" w:lineRule="exact"/>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3、科研咨询室，编制科研计划，管理、协调科研活动，科研档案。组织评估、宣传科研成果。聚焦区委、区政府中心工作、重大决策部署、社会热点难点问题，进行深入研究，提出对策建议。</w:t>
      </w:r>
    </w:p>
    <w:p>
      <w:p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从预算单位构成看，本单位部门决算只包括：本级部门决算。</w:t>
      </w:r>
    </w:p>
    <w:p>
      <w:pPr>
        <w:rPr>
          <w:rFonts w:hint="eastAsia" w:ascii="宋体" w:hAnsi="宋体" w:eastAsia="仿宋_GB2312" w:cs="Times New Roman"/>
          <w:kern w:val="2"/>
          <w:sz w:val="32"/>
          <w:szCs w:val="32"/>
          <w:lang w:val="en-US" w:eastAsia="zh-CN" w:bidi="ar-SA"/>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3"/>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lang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935.67</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935.67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630.57</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630.57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新校区办公物资及后勤设施购置费用增加。</w:t>
      </w:r>
    </w:p>
    <w:p>
      <w:pPr>
        <w:spacing w:line="204" w:lineRule="auto"/>
        <w:jc w:val="left"/>
        <w:rPr>
          <w:rFonts w:hint="eastAsia" w:ascii="楷体" w:hAnsi="楷体" w:eastAsia="楷体" w:cs="楷体"/>
          <w:spacing w:val="-2"/>
          <w:sz w:val="32"/>
          <w:szCs w:val="32"/>
          <w:lang w:eastAsia="zh-CN"/>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935.67</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935.67</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935.67</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283.37</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652.3</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935.67</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935.67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630.57</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206.68</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新校区办公物资及后勤设施购置费用增加。</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935.67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630.57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新校区办公物资及后勤设施购置费用增加。</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935.67</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2050802</w:t>
      </w:r>
      <w:r>
        <w:rPr>
          <w:rFonts w:hint="eastAsia" w:ascii="宋体" w:hAnsi="宋体" w:eastAsia="仿宋_GB2312" w:cs="Times New Roman"/>
          <w:sz w:val="32"/>
          <w:szCs w:val="32"/>
          <w:lang w:eastAsia="zh-CN"/>
        </w:rPr>
        <w:t>干部教育</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915.67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97.86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2069999</w:t>
      </w:r>
      <w:r>
        <w:rPr>
          <w:rFonts w:hint="eastAsia" w:ascii="宋体" w:hAnsi="宋体" w:eastAsia="仿宋_GB2312" w:cs="Times New Roman"/>
          <w:sz w:val="32"/>
          <w:szCs w:val="32"/>
        </w:rPr>
        <w:t>其他科学技术支出支出</w:t>
      </w:r>
      <w:r>
        <w:rPr>
          <w:rFonts w:hint="eastAsia" w:ascii="宋体" w:hAnsi="宋体" w:eastAsia="仿宋_GB2312" w:cs="Times New Roman"/>
          <w:sz w:val="32"/>
          <w:szCs w:val="32"/>
          <w:lang w:val="en-US" w:eastAsia="zh-CN"/>
        </w:rPr>
        <w:t>20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2.14</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935.67</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935.67</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283.36</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270.31</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257.7</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12.62</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13.05</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13.05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val="en-US" w:eastAsia="zh-CN"/>
        </w:rPr>
        <w:t>我单位无三公经费</w:t>
      </w:r>
      <w:r>
        <w:rPr>
          <w:rFonts w:hint="eastAsia" w:ascii="宋体" w:hAnsi="宋体" w:eastAsia="仿宋_GB2312" w:cs="Times New Roman"/>
          <w:sz w:val="32"/>
          <w:szCs w:val="32"/>
        </w:rPr>
        <w:t>。</w:t>
      </w:r>
    </w:p>
    <w:bookmarkEnd w:id="18"/>
    <w:bookmarkEnd w:id="19"/>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政府性基金预算财政拨款</w:t>
      </w:r>
      <w:r>
        <w:rPr>
          <w:rFonts w:hint="eastAsia" w:ascii="宋体" w:hAnsi="宋体" w:eastAsia="仿宋_GB2312" w:cs="Times New Roman"/>
          <w:sz w:val="32"/>
          <w:szCs w:val="32"/>
          <w:lang w:eastAsia="zh-CN"/>
        </w:rPr>
        <w:t>。</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仿宋" w:hAnsi="仿宋" w:eastAsia="仿宋" w:cs="仿宋"/>
          <w:sz w:val="32"/>
          <w:szCs w:val="32"/>
        </w:rPr>
        <w:t>我单位为事业单位无机关运行经费。</w:t>
      </w:r>
    </w:p>
    <w:p>
      <w:pPr>
        <w:ind w:firstLine="640" w:firstLineChars="200"/>
        <w:rPr>
          <w:rFonts w:ascii="宋体" w:hAnsi="宋体" w:eastAsia="仿宋_GB2312" w:cs="Times New Roman"/>
          <w:sz w:val="32"/>
          <w:szCs w:val="32"/>
        </w:rPr>
      </w:pP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511.7</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511.7</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632.3</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autoSpaceDN w:val="0"/>
        <w:spacing w:line="600" w:lineRule="exact"/>
        <w:ind w:firstLine="640" w:firstLineChars="200"/>
        <w:textAlignment w:val="center"/>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eastAsia="zh-CN"/>
        </w:rPr>
        <w:t>通过开</w:t>
      </w:r>
      <w:r>
        <w:rPr>
          <w:rFonts w:hint="eastAsia" w:ascii="宋体" w:hAnsi="宋体" w:eastAsia="仿宋_GB2312" w:cs="Times New Roman"/>
          <w:sz w:val="32"/>
          <w:szCs w:val="32"/>
        </w:rPr>
        <w:t>展绩效管理目标工作</w:t>
      </w:r>
      <w:r>
        <w:rPr>
          <w:rFonts w:hint="eastAsia" w:ascii="宋体" w:hAnsi="宋体" w:eastAsia="仿宋_GB2312" w:cs="Times New Roman"/>
          <w:sz w:val="32"/>
          <w:szCs w:val="32"/>
          <w:lang w:eastAsia="zh-CN"/>
        </w:rPr>
        <w:t>，一</w:t>
      </w:r>
      <w:r>
        <w:rPr>
          <w:rFonts w:hint="eastAsia" w:ascii="仿宋" w:hAnsi="仿宋" w:eastAsia="仿宋"/>
          <w:bCs/>
          <w:color w:val="000000"/>
          <w:kern w:val="32"/>
          <w:sz w:val="32"/>
          <w:szCs w:val="32"/>
        </w:rPr>
        <w:t>制定绩效目标编制管理要求，推进财政的绩效目标编报工作。二是推进预算部门开展绩效目标公开试点，提高部门人员对绩效管理政策的知晓度和绩效工作的参与度。三是将绩效目标作为项目前期评审和预算审核的重要内容之一。</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5F08F4"/>
    <w:multiLevelType w:val="singleLevel"/>
    <w:tmpl w:val="F15F08F4"/>
    <w:lvl w:ilvl="0" w:tentative="0">
      <w:start w:val="1"/>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ZjE5ODJiMDNmMWNlNWNhYjRmZGQwODdmODNlMGIifQ=="/>
  </w:docVars>
  <w:rsids>
    <w:rsidRoot w:val="7E3F0B7D"/>
    <w:rsid w:val="000014A7"/>
    <w:rsid w:val="00052B5B"/>
    <w:rsid w:val="00774AFB"/>
    <w:rsid w:val="00E4217F"/>
    <w:rsid w:val="0E115DFD"/>
    <w:rsid w:val="11D27EAE"/>
    <w:rsid w:val="16743087"/>
    <w:rsid w:val="20D97C1B"/>
    <w:rsid w:val="23553F43"/>
    <w:rsid w:val="299664C8"/>
    <w:rsid w:val="3F28132A"/>
    <w:rsid w:val="49221B6F"/>
    <w:rsid w:val="4B32004B"/>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2899</Words>
  <Characters>3105</Characters>
  <Lines>5</Lines>
  <Paragraphs>7</Paragraphs>
  <TotalTime>6</TotalTime>
  <ScaleCrop>false</ScaleCrop>
  <LinksUpToDate>false</LinksUpToDate>
  <CharactersWithSpaces>3169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2022-09-14T08:09:43Z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D3C4406458814BD8AD9D1C37837D521F</vt:lpwstr>
  </property>
</Properties>
</file>