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朔州市朔城区科学技术局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1、贯彻落实国家、省、市科技创新政策，拟定全区创新驱动发展战略方针以及科技发展、引进国外智力的规划和政策并组织实施。</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统筹推进区创新体系建设和科技体制改革，会同有关部门健全技术创新激励机制。优化科研体系建设，指导科研机构改革发展，推动企业科技创新能力建设，承担推进科技军民融合发展的相关工作，推进区重大（重点）科技决策咨询制度建设。</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牵头建立全区统一的科技管理平台和科研项目资金协调、评估、监管机制。会同有关部门提出优化配置科技资源的政策措施建议，推动多元化科技投入体系建设，协调管理区科技计划（专项、基金等）并监督实施。</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4、拟定区基础研究规划，政策和标准并组织实施，推动科研条件保障建设和科技资源开放共享。</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5、负责科技项目的申报和管理，负责对科技项目实施的服务、检查、督促。</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6、组织拟定高新技术发展及产业化，科技促进农业农村和社会发展的规划、政策和措施，组织推荐和管理高新技术企业。</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7、牵头全区技术转移体系建设，推动科技成果转移转化，促进产学研结合。组织开展科技示范，促进科技成果的推广应用，指导科技服务业、技术市场和科技中介组织发展。</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8、统筹区域科技创新体系建设，指导区域创新发展、科技资源合理布局和协同创新能力建设，推动高新技术产业及科技园区建设。</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9、负责科技监督评价体系建设和相关科技评估管理，指导科技评价机制改革，统筹科研诚信建设。组织实施创新调查和科技报告制度，指导科技保密工作。</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会同有关部门拟定区科技人才队伍建设规划和政策，建立健全科技人才评价激励机制，组织实施科技人才计划，引进一批高新专业技术人才，推动科技创新人才队伍建设。牵头负责全区科学技术及工作，组织开展科普培训，加强科技创新宣传。</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11、负责我区范围内省科学技术奖的推荐服务工作和组织、协调、推荐自然科学基金相关工作。</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12、完成区委、区政府交办的其他任务。</w:t>
      </w:r>
    </w:p>
    <w:p>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全市科技管理平台，减少科技计划项目重复、分散封闭、低效和资源配置“碎片化”现象。进一步改进科技人才评价机制，建立健全以创新能力、质量、贡献、绩效为导向的科技人才评价体系和激励政策，与省、市衔接统筹全区科技人才队伍建设和引进国外科技智力工作。</w:t>
      </w:r>
    </w:p>
    <w:p>
      <w:pPr>
        <w:ind w:firstLine="600" w:firstLineChars="200"/>
        <w:rPr>
          <w:rFonts w:ascii="仿宋" w:hAnsi="仿宋" w:eastAsia="仿宋" w:cs="仿宋"/>
          <w:sz w:val="32"/>
          <w:szCs w:val="32"/>
        </w:rPr>
      </w:pPr>
      <w:r>
        <w:rPr>
          <w:rFonts w:hint="eastAsia" w:ascii="仿宋" w:hAnsi="仿宋" w:eastAsia="仿宋" w:cs="仿宋"/>
          <w:sz w:val="30"/>
          <w:szCs w:val="30"/>
          <w:lang w:val="en-US" w:eastAsia="zh-CN"/>
        </w:rPr>
        <w:t>14、职责调整。将区教育科技局等科学技术职责、区人力资源和社会保障局的外国专家管理职责划入。</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r>
        <w:rPr>
          <w:rFonts w:hint="eastAsia" w:ascii="仿宋" w:hAnsi="仿宋" w:eastAsia="仿宋" w:cs="仿宋"/>
          <w:b w:val="0"/>
          <w:bCs/>
          <w:color w:val="auto"/>
          <w:sz w:val="30"/>
          <w:szCs w:val="30"/>
          <w:highlight w:val="none"/>
          <w:lang w:eastAsia="zh-CN"/>
        </w:rPr>
        <w:t>二级</w:t>
      </w:r>
      <w:r>
        <w:rPr>
          <w:rFonts w:hint="eastAsia" w:ascii="宋体" w:hAnsi="宋体" w:eastAsia="仿宋_GB2312" w:cs="Times New Roman"/>
          <w:sz w:val="32"/>
          <w:szCs w:val="32"/>
        </w:rPr>
        <w:t>单位</w:t>
      </w:r>
      <w:r>
        <w:rPr>
          <w:rFonts w:hint="eastAsia" w:ascii="宋体" w:hAnsi="宋体" w:eastAsia="仿宋_GB2312" w:cs="Times New Roman"/>
          <w:sz w:val="32"/>
          <w:szCs w:val="32"/>
          <w:lang w:eastAsia="zh-CN"/>
        </w:rPr>
        <w:t>，</w:t>
      </w:r>
      <w:r>
        <w:rPr>
          <w:rFonts w:hint="eastAsia" w:ascii="仿宋" w:hAnsi="仿宋" w:eastAsia="仿宋" w:cs="仿宋"/>
          <w:b w:val="0"/>
          <w:bCs/>
          <w:color w:val="auto"/>
          <w:sz w:val="30"/>
          <w:szCs w:val="30"/>
          <w:highlight w:val="none"/>
          <w:lang w:val="en-US" w:eastAsia="zh-CN"/>
        </w:rPr>
        <w:t>即</w:t>
      </w:r>
      <w:r>
        <w:rPr>
          <w:rFonts w:hint="eastAsia" w:ascii="仿宋" w:hAnsi="仿宋" w:eastAsia="仿宋" w:cs="仿宋"/>
          <w:b w:val="0"/>
          <w:bCs/>
          <w:color w:val="auto"/>
          <w:kern w:val="2"/>
          <w:sz w:val="30"/>
          <w:szCs w:val="30"/>
          <w:highlight w:val="none"/>
          <w:lang w:val="en-US" w:eastAsia="zh-CN" w:bidi="ar-SA"/>
        </w:rPr>
        <w:t>朔州市朔城区科技开发咨询中心（非独立核算单位）</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单位部门决算包括：本级决算和所属</w:t>
      </w:r>
      <w:r>
        <w:rPr>
          <w:rFonts w:hint="eastAsia" w:ascii="仿宋" w:hAnsi="仿宋" w:eastAsia="仿宋" w:cs="仿宋"/>
          <w:b w:val="0"/>
          <w:bCs/>
          <w:color w:val="auto"/>
          <w:sz w:val="30"/>
          <w:szCs w:val="30"/>
          <w:highlight w:val="none"/>
          <w:lang w:eastAsia="zh-CN"/>
        </w:rPr>
        <w:t>二级</w:t>
      </w:r>
      <w:r>
        <w:rPr>
          <w:rFonts w:hint="eastAsia" w:ascii="宋体" w:hAnsi="宋体" w:eastAsia="仿宋_GB2312" w:cs="Times New Roman"/>
          <w:sz w:val="32"/>
          <w:szCs w:val="32"/>
        </w:rPr>
        <w:t>单位决算。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43.69</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43.69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减少了中小企业奖励金。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64.32</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22.99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43.69</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33.35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减少了中小企业奖励金。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43.69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减少了中小企业奖励金。</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67.15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18.16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其他</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 xml:space="preserve"> </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87.31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64.32</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58.82</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58.76</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0.06</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5.5</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5.5</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val="en-US" w:eastAsia="zh-CN"/>
        </w:rPr>
        <w:t>业务支出情况。</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政府性基金预算财政拨款</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5.5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9.89</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降低</w:t>
      </w:r>
      <w:r>
        <w:rPr>
          <w:rFonts w:hint="eastAsia" w:ascii="宋体" w:hAnsi="宋体" w:eastAsia="仿宋_GB2312" w:cs="Times New Roman"/>
          <w:sz w:val="32"/>
          <w:szCs w:val="32"/>
          <w:highlight w:val="none"/>
          <w:lang w:val="en-US" w:eastAsia="zh-CN"/>
        </w:rPr>
        <w:t>64.26</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减少了</w:t>
      </w:r>
      <w:bookmarkStart w:id="22" w:name="_GoBack"/>
      <w:bookmarkEnd w:id="22"/>
      <w:r>
        <w:rPr>
          <w:rFonts w:hint="eastAsia" w:ascii="宋体" w:hAnsi="宋体" w:eastAsia="仿宋_GB2312" w:cs="Times New Roman"/>
          <w:sz w:val="32"/>
          <w:szCs w:val="32"/>
          <w:lang w:val="en-US" w:eastAsia="zh-CN"/>
        </w:rPr>
        <w:t>差旅费及宣传费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宋体" w:hAnsi="宋体" w:eastAsia="仿宋_GB2312" w:cs="Times New Roman"/>
          <w:sz w:val="32"/>
          <w:szCs w:val="32"/>
          <w:lang w:val="en-US" w:eastAsia="zh-CN"/>
        </w:rPr>
        <w:t>7.78</w:t>
      </w:r>
      <w:r>
        <w:rPr>
          <w:rFonts w:hint="eastAsia" w:ascii="宋体" w:hAnsi="宋体" w:eastAsia="仿宋_GB2312" w:cs="Times New Roman"/>
          <w:sz w:val="32"/>
          <w:szCs w:val="32"/>
        </w:rPr>
        <w:t>万元，其中：政府采购货物</w:t>
      </w:r>
      <w:r>
        <w:rPr>
          <w:rFonts w:hint="eastAsia" w:ascii="宋体" w:hAnsi="宋体" w:eastAsia="仿宋_GB2312" w:cs="Times New Roman"/>
          <w:sz w:val="32"/>
          <w:szCs w:val="32"/>
          <w:lang w:val="en-US" w:eastAsia="zh-CN"/>
        </w:rPr>
        <w:t>7.78</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4"/>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2"/>
        <w:numPr>
          <w:ilvl w:val="0"/>
          <w:numId w:val="0"/>
        </w:numPr>
        <w:ind w:firstLine="640" w:firstLineChars="200"/>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spacing w:line="204" w:lineRule="auto"/>
        <w:ind w:firstLine="628" w:firstLineChars="200"/>
        <w:jc w:val="left"/>
        <w:rPr>
          <w:rFonts w:hint="default" w:ascii="楷体" w:hAnsi="楷体" w:eastAsia="楷体" w:cs="楷体"/>
          <w:spacing w:val="-3"/>
          <w:sz w:val="32"/>
          <w:szCs w:val="32"/>
          <w:lang w:val="en-US" w:eastAsia="zh-CN"/>
        </w:rPr>
      </w:pPr>
      <w:r>
        <w:rPr>
          <w:rFonts w:hint="eastAsia" w:ascii="楷体" w:hAnsi="楷体" w:eastAsia="楷体" w:cs="楷体"/>
          <w:spacing w:val="-3"/>
          <w:sz w:val="32"/>
          <w:szCs w:val="32"/>
          <w:lang w:val="en-US" w:eastAsia="zh-CN"/>
        </w:rPr>
        <w:t>本单位当年未开展绩效管理工作。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C9B1"/>
    <w:multiLevelType w:val="singleLevel"/>
    <w:tmpl w:val="0403C9B1"/>
    <w:lvl w:ilvl="0" w:tentative="0">
      <w:start w:val="3"/>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YTg3OWZjOTQ1OWU4OTA0OGVmMzQwMjg3MjY5M2MifQ=="/>
  </w:docVars>
  <w:rsids>
    <w:rsidRoot w:val="7E3F0B7D"/>
    <w:rsid w:val="000014A7"/>
    <w:rsid w:val="00052B5B"/>
    <w:rsid w:val="00387293"/>
    <w:rsid w:val="00400FDB"/>
    <w:rsid w:val="00774AFB"/>
    <w:rsid w:val="00E4217F"/>
    <w:rsid w:val="023A21D9"/>
    <w:rsid w:val="07BA233A"/>
    <w:rsid w:val="096164E5"/>
    <w:rsid w:val="0BA47589"/>
    <w:rsid w:val="0E115DFD"/>
    <w:rsid w:val="0F451D95"/>
    <w:rsid w:val="0FE91A0F"/>
    <w:rsid w:val="10E434CF"/>
    <w:rsid w:val="11D27EAE"/>
    <w:rsid w:val="121865DB"/>
    <w:rsid w:val="148E4755"/>
    <w:rsid w:val="16361B0A"/>
    <w:rsid w:val="16CD0D30"/>
    <w:rsid w:val="1C3F053B"/>
    <w:rsid w:val="1F922358"/>
    <w:rsid w:val="20D97C1B"/>
    <w:rsid w:val="215C2E7C"/>
    <w:rsid w:val="21605A2F"/>
    <w:rsid w:val="21A146D7"/>
    <w:rsid w:val="23553F43"/>
    <w:rsid w:val="24E6222D"/>
    <w:rsid w:val="25295D33"/>
    <w:rsid w:val="2533755C"/>
    <w:rsid w:val="299664C8"/>
    <w:rsid w:val="2B3D07FD"/>
    <w:rsid w:val="2D2854C6"/>
    <w:rsid w:val="32672F3B"/>
    <w:rsid w:val="351A5A93"/>
    <w:rsid w:val="3785050C"/>
    <w:rsid w:val="3C215076"/>
    <w:rsid w:val="3F28132A"/>
    <w:rsid w:val="40A75DF2"/>
    <w:rsid w:val="4654512D"/>
    <w:rsid w:val="49221B6F"/>
    <w:rsid w:val="524D46F5"/>
    <w:rsid w:val="527B23BF"/>
    <w:rsid w:val="54E60EA3"/>
    <w:rsid w:val="58276B45"/>
    <w:rsid w:val="5B6065F6"/>
    <w:rsid w:val="5C271CC4"/>
    <w:rsid w:val="5CE44CCA"/>
    <w:rsid w:val="5CFA4BF5"/>
    <w:rsid w:val="60630E1C"/>
    <w:rsid w:val="629E17C6"/>
    <w:rsid w:val="6544153D"/>
    <w:rsid w:val="66800934"/>
    <w:rsid w:val="68CD37BD"/>
    <w:rsid w:val="6C940C35"/>
    <w:rsid w:val="6EA463A2"/>
    <w:rsid w:val="6F2B6AC3"/>
    <w:rsid w:val="76242D9C"/>
    <w:rsid w:val="7850067B"/>
    <w:rsid w:val="79233708"/>
    <w:rsid w:val="7A52357C"/>
    <w:rsid w:val="7BE113EF"/>
    <w:rsid w:val="7E1A1331"/>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3523</Words>
  <Characters>3715</Characters>
  <Lines>5</Lines>
  <Paragraphs>7</Paragraphs>
  <TotalTime>27</TotalTime>
  <ScaleCrop>false</ScaleCrop>
  <LinksUpToDate>false</LinksUpToDate>
  <CharactersWithSpaces>3774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2022-09-06T09:44:40Z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D45A59E6A2CA467D8138539F83387F4C</vt:lpwstr>
  </property>
</Properties>
</file>