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朔州市朔城区统计局2021年部门决算公开情况说明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贯彻执行国家统计工作方针政策和统计法律法规，完成国家、省、市统计调查任务。2、指导和协调全区统计业务工作，组织开展普查及有关专项调查。3、监督统计调查单位贯彻执行国家统计法律法规，查处各类统计违法行为。4、向区委、区政府及其有关部门提供统计信息和咨询建议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本单位内设7个科室，下属1个单位。从预算单位构成看，朔州市朔城区统计局部门决算包括：本级决算。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计621.42万元 、 支 出 总 计621.42万元。与 2020年相比,收入总计减少296.25万元，支出总计减少</w:t>
      </w:r>
      <w:r>
        <w:rPr>
          <w:rFonts w:hint="eastAsia" w:ascii="仿宋" w:hAnsi="仿宋" w:eastAsia="仿宋" w:cs="仿宋"/>
          <w:spacing w:val="-34"/>
          <w:sz w:val="32"/>
          <w:szCs w:val="32"/>
        </w:rPr>
        <w:t>296.25</w:t>
      </w:r>
      <w:r>
        <w:rPr>
          <w:rFonts w:hint="eastAsia" w:ascii="宋体" w:hAnsi="宋体" w:eastAsia="仿宋_GB2312" w:cs="Times New Roman"/>
          <w:sz w:val="32"/>
          <w:szCs w:val="32"/>
        </w:rPr>
        <w:t>万元。主要原因是：2021年人口普查工作结束，相应经费减少。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本年收入合计621.42万元，其中：财政拨款收入621.42万元;上级补助收入0万元；事业收入 0万元；经营收入0万元；附属单位上缴收入 0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本年支出合计621.42万元 ，其中：基本支出322.6万元 ；项目支出298.82万元；上缴上级支出0万元，经营支出0万元；对附属单位补助支出0万元。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621.42</w:t>
      </w:r>
      <w:r>
        <w:rPr>
          <w:rFonts w:hint="eastAsia" w:ascii="宋体" w:hAnsi="宋体" w:eastAsia="仿宋_GB2312" w:cs="Times New Roman"/>
          <w:sz w:val="32"/>
          <w:szCs w:val="32"/>
        </w:rPr>
        <w:t>万元、支出总计621.42万元。与 2020 年相比，财政拨款收入总计减少</w:t>
      </w:r>
      <w:r>
        <w:rPr>
          <w:rFonts w:hint="eastAsia" w:ascii="仿宋" w:hAnsi="仿宋" w:eastAsia="仿宋" w:cs="仿宋"/>
          <w:spacing w:val="2"/>
          <w:sz w:val="32"/>
          <w:szCs w:val="32"/>
        </w:rPr>
        <w:t>296.25</w:t>
      </w:r>
      <w:r>
        <w:rPr>
          <w:rFonts w:hint="eastAsia" w:ascii="宋体" w:hAnsi="宋体" w:eastAsia="仿宋_GB2312" w:cs="Times New Roman"/>
          <w:sz w:val="32"/>
          <w:szCs w:val="32"/>
        </w:rPr>
        <w:t>万元，降低32.28%。主要原因是：2021年人口普查工作结束，相应经费减少。</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年度财政拨款支出621.42万元，与 2020 年相比，财政拨款支出增加减少</w:t>
      </w:r>
      <w:r>
        <w:rPr>
          <w:rFonts w:hint="eastAsia" w:ascii="仿宋" w:hAnsi="仿宋" w:eastAsia="仿宋" w:cs="仿宋"/>
          <w:spacing w:val="2"/>
          <w:sz w:val="32"/>
          <w:szCs w:val="32"/>
        </w:rPr>
        <w:t>296.25</w:t>
      </w:r>
      <w:r>
        <w:rPr>
          <w:rFonts w:hint="eastAsia" w:ascii="宋体" w:hAnsi="宋体" w:eastAsia="仿宋_GB2312" w:cs="Times New Roman"/>
          <w:sz w:val="32"/>
          <w:szCs w:val="32"/>
        </w:rPr>
        <w:t>万元。主要原因是：2021年人口普查工作结束，相应经费减少。</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highlight w:val="none"/>
        </w:rPr>
      </w:pPr>
      <w:bookmarkStart w:id="14" w:name="_Toc27424_WPSOffice_Level2"/>
      <w:bookmarkStart w:id="15" w:name="_Toc1066_WPSOffice_Level2"/>
      <w:r>
        <w:rPr>
          <w:rFonts w:hint="eastAsia" w:ascii="宋体" w:hAnsi="宋体" w:eastAsia="仿宋_GB2312" w:cs="Times New Roman"/>
          <w:sz w:val="32"/>
          <w:szCs w:val="32"/>
          <w:highlight w:val="none"/>
        </w:rPr>
        <w:t>2021 年度财政拨款支出</w:t>
      </w:r>
      <w:r>
        <w:rPr>
          <w:rFonts w:hint="eastAsia" w:ascii="仿宋" w:hAnsi="仿宋" w:eastAsia="仿宋" w:cs="仿宋"/>
          <w:sz w:val="32"/>
          <w:szCs w:val="32"/>
          <w:highlight w:val="none"/>
        </w:rPr>
        <w:t>621.42</w:t>
      </w:r>
      <w:r>
        <w:rPr>
          <w:rFonts w:hint="eastAsia" w:ascii="宋体" w:hAnsi="宋体" w:eastAsia="仿宋_GB2312" w:cs="Times New Roman"/>
          <w:sz w:val="32"/>
          <w:szCs w:val="32"/>
          <w:highlight w:val="none"/>
        </w:rPr>
        <w:t>万元，主要用于以下方面：</w:t>
      </w:r>
      <w:r>
        <w:rPr>
          <w:rFonts w:hint="eastAsia" w:ascii="宋体" w:hAnsi="宋体" w:eastAsia="仿宋_GB2312" w:cs="Times New Roman"/>
          <w:sz w:val="32"/>
          <w:szCs w:val="32"/>
          <w:highlight w:val="none"/>
          <w:lang w:val="en-US" w:eastAsia="zh-CN"/>
        </w:rPr>
        <w:t>2010501行政运行121.07万元，占19.48%，2010502一般行政管理事务126.50万元，占20.36%，2010503机关服务201.53万元，占32.43%，2010505专项统计业务139.52万元，占22.45%，2010599其他统计信息事务支出29.80万元，占4.80%，2299999其他支出3万元，占0.48%</w:t>
      </w:r>
      <w:r>
        <w:rPr>
          <w:rFonts w:hint="eastAsia" w:ascii="仿宋" w:hAnsi="仿宋" w:eastAsia="仿宋" w:cs="仿宋"/>
          <w:spacing w:val="4"/>
          <w:sz w:val="32"/>
          <w:szCs w:val="32"/>
          <w:highlight w:val="none"/>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hint="eastAsia" w:ascii="宋体" w:hAnsi="宋体" w:eastAsia="仿宋_GB2312" w:cs="Times New Roman"/>
          <w:sz w:val="32"/>
          <w:szCs w:val="32"/>
          <w:lang w:val="en-US" w:eastAsia="zh-CN"/>
        </w:rPr>
        <w:t>621.42</w:t>
      </w:r>
      <w:r>
        <w:rPr>
          <w:rFonts w:hint="eastAsia" w:ascii="宋体" w:hAnsi="宋体" w:eastAsia="仿宋_GB2312" w:cs="Times New Roman"/>
          <w:sz w:val="32"/>
          <w:szCs w:val="32"/>
        </w:rPr>
        <w:t>万元，支出决算为</w:t>
      </w:r>
      <w:r>
        <w:rPr>
          <w:rFonts w:hint="eastAsia" w:ascii="仿宋" w:hAnsi="仿宋" w:eastAsia="仿宋" w:cs="仿宋"/>
          <w:sz w:val="32"/>
          <w:szCs w:val="32"/>
        </w:rPr>
        <w:t>621.42</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lang w:val="en-US" w:eastAsia="zh-CN"/>
        </w:rPr>
        <w:t>322.59</w:t>
      </w:r>
      <w:r>
        <w:rPr>
          <w:rFonts w:hint="eastAsia" w:ascii="宋体" w:hAnsi="宋体" w:eastAsia="仿宋_GB2312" w:cs="Times New Roman"/>
          <w:sz w:val="32"/>
          <w:szCs w:val="32"/>
        </w:rPr>
        <w:t>万元，其中：人员经费30</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.8</w:t>
      </w:r>
      <w:r>
        <w:rPr>
          <w:rFonts w:hint="eastAsia" w:ascii="宋体" w:hAnsi="宋体" w:eastAsia="仿宋_GB2312" w:cs="Times New Roman"/>
          <w:sz w:val="32"/>
          <w:szCs w:val="32"/>
          <w:lang w:val="en-US" w:eastAsia="zh-CN"/>
        </w:rPr>
        <w:t>6</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29</w:t>
      </w:r>
      <w:r>
        <w:rPr>
          <w:rFonts w:hint="eastAsia" w:ascii="仿宋" w:hAnsi="仿宋" w:eastAsia="仿宋" w:cs="仿宋"/>
          <w:spacing w:val="4"/>
          <w:sz w:val="32"/>
          <w:szCs w:val="32"/>
          <w:lang w:val="en-US" w:eastAsia="zh-CN"/>
        </w:rPr>
        <w:t>4</w:t>
      </w:r>
      <w:r>
        <w:rPr>
          <w:rFonts w:hint="eastAsia" w:ascii="仿宋" w:hAnsi="仿宋" w:eastAsia="仿宋" w:cs="仿宋"/>
          <w:spacing w:val="4"/>
          <w:sz w:val="32"/>
          <w:szCs w:val="32"/>
        </w:rPr>
        <w:t>.28</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10.58</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17.73</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17.73</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2021年“三公”经费一般公共预算财政拨款支出预算数</w:t>
      </w:r>
      <w:r>
        <w:rPr>
          <w:rFonts w:hint="eastAsia" w:ascii="仿宋" w:hAnsi="仿宋" w:eastAsia="仿宋" w:cs="仿宋"/>
          <w:spacing w:val="4"/>
          <w:sz w:val="32"/>
          <w:szCs w:val="32"/>
        </w:rPr>
        <w:t>2.1</w:t>
      </w:r>
      <w:r>
        <w:rPr>
          <w:rFonts w:hint="eastAsia" w:ascii="宋体" w:hAnsi="宋体" w:eastAsia="仿宋_GB2312" w:cs="Times New Roman"/>
          <w:sz w:val="32"/>
          <w:szCs w:val="32"/>
        </w:rPr>
        <w:t>万元，2021年“三公”经费一般公共预算财政拨款支出决算数</w:t>
      </w:r>
      <w:r>
        <w:rPr>
          <w:rFonts w:hint="eastAsia" w:ascii="仿宋" w:hAnsi="仿宋" w:eastAsia="仿宋" w:cs="仿宋"/>
          <w:spacing w:val="4"/>
          <w:sz w:val="32"/>
          <w:szCs w:val="32"/>
        </w:rPr>
        <w:t>2.1</w:t>
      </w:r>
      <w:r>
        <w:rPr>
          <w:rFonts w:hint="eastAsia" w:ascii="宋体" w:hAnsi="宋体" w:eastAsia="仿宋_GB2312" w:cs="Times New Roman"/>
          <w:sz w:val="32"/>
          <w:szCs w:val="32"/>
        </w:rPr>
        <w:t>万元，与同年预算相比无增减变动。比2020年决算数</w:t>
      </w:r>
      <w:r>
        <w:rPr>
          <w:rFonts w:hint="eastAsia" w:ascii="仿宋" w:hAnsi="仿宋" w:eastAsia="仿宋" w:cs="仿宋"/>
          <w:spacing w:val="4"/>
          <w:sz w:val="32"/>
          <w:szCs w:val="32"/>
        </w:rPr>
        <w:t>减少0.</w:t>
      </w:r>
      <w:r>
        <w:rPr>
          <w:rFonts w:hint="eastAsia" w:ascii="仿宋" w:hAnsi="仿宋" w:eastAsia="仿宋" w:cs="仿宋"/>
          <w:spacing w:val="4"/>
          <w:sz w:val="32"/>
          <w:szCs w:val="32"/>
          <w:lang w:val="en-US" w:eastAsia="zh-CN"/>
        </w:rPr>
        <w:t>08</w:t>
      </w:r>
      <w:r>
        <w:rPr>
          <w:rFonts w:hint="eastAsia" w:ascii="宋体" w:hAnsi="宋体" w:eastAsia="仿宋_GB2312" w:cs="Times New Roman"/>
          <w:sz w:val="32"/>
          <w:szCs w:val="32"/>
        </w:rPr>
        <w:t>万元，原因是压缩公车运行经费支出。其中：因公出国（境）费用0万元，公务接待费0万元，公务用车运行维护费</w:t>
      </w:r>
      <w:r>
        <w:rPr>
          <w:rFonts w:hint="eastAsia" w:ascii="仿宋" w:hAnsi="仿宋" w:eastAsia="仿宋" w:cs="仿宋"/>
          <w:spacing w:val="4"/>
          <w:sz w:val="32"/>
          <w:szCs w:val="32"/>
        </w:rPr>
        <w:t>2.1</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减少0.</w:t>
      </w:r>
      <w:r>
        <w:rPr>
          <w:rFonts w:hint="eastAsia" w:ascii="仿宋" w:hAnsi="仿宋" w:eastAsia="仿宋" w:cs="仿宋"/>
          <w:spacing w:val="4"/>
          <w:sz w:val="32"/>
          <w:szCs w:val="32"/>
          <w:lang w:val="en-US" w:eastAsia="zh-CN"/>
        </w:rPr>
        <w:t>08</w:t>
      </w:r>
      <w:bookmarkStart w:id="22" w:name="_GoBack"/>
      <w:bookmarkEnd w:id="22"/>
      <w:r>
        <w:rPr>
          <w:rFonts w:hint="eastAsia" w:ascii="宋体" w:hAnsi="宋体" w:eastAsia="仿宋_GB2312" w:cs="Times New Roman"/>
          <w:sz w:val="32"/>
          <w:szCs w:val="32"/>
        </w:rPr>
        <w:t>万元，原因是正常压缩公务用车运行维护费；公务用车购置费0万元。</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单位机关运行经费支出17.73万元，比2020年增加0.17万元，增长0.96%，主要原因是2021年增加3名事业工人。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hint="eastAsia" w:ascii="仿宋" w:hAnsi="仿宋" w:eastAsia="仿宋" w:cs="仿宋"/>
          <w:spacing w:val="4"/>
          <w:sz w:val="32"/>
          <w:szCs w:val="32"/>
        </w:rPr>
        <w:t>102.90</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102.90</w:t>
      </w:r>
      <w:r>
        <w:rPr>
          <w:rFonts w:hint="eastAsia" w:ascii="宋体" w:hAnsi="宋体" w:eastAsia="仿宋_GB2312" w:cs="Times New Roman"/>
          <w:sz w:val="32"/>
          <w:szCs w:val="32"/>
        </w:rPr>
        <w:t>万元、政府采购工程0万元、政府采购服务0万元。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截至2021年12月31日，本部门共有车辆1辆，其中，主要领导干部用车0辆、机要通信用车0辆、应急保障用车0辆、执法执勤用车0辆、特种专业技术用车0辆、离退休干部用车0辆、其他用车1辆，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rPr>
        <w:t>我单位2021年无重点项目预算</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故</w:t>
      </w: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Y4MWJkNjBjN2I1N2FmYTM3OGE1OTIwMzEyZDZiY2EifQ=="/>
  </w:docVars>
  <w:rsids>
    <w:rsidRoot w:val="7E3F0B7D"/>
    <w:rsid w:val="000014A7"/>
    <w:rsid w:val="00052B5B"/>
    <w:rsid w:val="00774AFB"/>
    <w:rsid w:val="00841AA9"/>
    <w:rsid w:val="008D620C"/>
    <w:rsid w:val="00E4217F"/>
    <w:rsid w:val="0E115DFD"/>
    <w:rsid w:val="11D27EAE"/>
    <w:rsid w:val="147A17CF"/>
    <w:rsid w:val="153E5893"/>
    <w:rsid w:val="1A18361C"/>
    <w:rsid w:val="1E2527AC"/>
    <w:rsid w:val="20D97C1B"/>
    <w:rsid w:val="22F30E3C"/>
    <w:rsid w:val="23553F43"/>
    <w:rsid w:val="299664C8"/>
    <w:rsid w:val="2ACB2922"/>
    <w:rsid w:val="2DCC553B"/>
    <w:rsid w:val="30ED2295"/>
    <w:rsid w:val="357E4A7A"/>
    <w:rsid w:val="3F28132A"/>
    <w:rsid w:val="49221B6F"/>
    <w:rsid w:val="596D6BC9"/>
    <w:rsid w:val="61DB191E"/>
    <w:rsid w:val="6544153D"/>
    <w:rsid w:val="678E0047"/>
    <w:rsid w:val="68CD37BD"/>
    <w:rsid w:val="6C940C35"/>
    <w:rsid w:val="6E4A0A40"/>
    <w:rsid w:val="7E200BC7"/>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2811</Words>
  <Characters>3070</Characters>
  <Lines>6</Lines>
  <Paragraphs>7</Paragraphs>
  <TotalTime>4</TotalTime>
  <ScaleCrop>false</ScaleCrop>
  <LinksUpToDate>false</LinksUpToDate>
  <CharactersWithSpaces>3128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2022-09-19T07:41:51Z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1C57EC78572E4E288F6E9591909A636C</vt:lpwstr>
  </property>
</Properties>
</file>