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hint="eastAsia" w:ascii="黑体" w:eastAsia="黑体"/>
          <w:sz w:val="44"/>
          <w:szCs w:val="44"/>
          <w:lang w:eastAsia="zh-CN"/>
        </w:rPr>
      </w:pPr>
      <w:r>
        <w:rPr>
          <w:rFonts w:hint="eastAsia" w:ascii="黑体" w:eastAsia="黑体"/>
          <w:sz w:val="44"/>
          <w:szCs w:val="44"/>
          <w:lang w:eastAsia="zh-CN"/>
        </w:rPr>
        <w:t>朔州市朔城区第一幼儿园</w:t>
      </w:r>
    </w:p>
    <w:p>
      <w:pPr>
        <w:jc w:val="center"/>
        <w:rPr>
          <w:rFonts w:ascii="黑体" w:eastAsia="黑体"/>
          <w:sz w:val="44"/>
          <w:szCs w:val="44"/>
        </w:rPr>
      </w:pPr>
      <w:r>
        <w:rPr>
          <w:rFonts w:hint="eastAsia" w:ascii="黑体" w:eastAsia="黑体"/>
          <w:sz w:val="44"/>
          <w:szCs w:val="44"/>
        </w:rPr>
        <w:t>202</w:t>
      </w:r>
      <w:r>
        <w:rPr>
          <w:rFonts w:hint="eastAsia" w:ascii="黑体" w:eastAsia="黑体"/>
          <w:sz w:val="44"/>
          <w:szCs w:val="44"/>
          <w:lang w:val="en-US" w:eastAsia="zh-CN"/>
        </w:rPr>
        <w:t>1</w:t>
      </w:r>
      <w:r>
        <w:rPr>
          <w:rFonts w:hint="eastAsia" w:ascii="黑体" w:eastAsia="黑体"/>
          <w:sz w:val="44"/>
          <w:szCs w:val="44"/>
        </w:rPr>
        <w:t>年部门决算公开情况说明</w:t>
      </w:r>
    </w:p>
    <w:p>
      <w:pPr>
        <w:spacing w:line="360" w:lineRule="auto"/>
        <w:jc w:val="center"/>
        <w:rPr>
          <w:rFonts w:hint="default" w:ascii="宋体" w:hAnsi="宋体" w:cs="宋体" w:eastAsiaTheme="minorEastAsia"/>
          <w:sz w:val="44"/>
          <w:szCs w:val="44"/>
          <w:lang w:val="en-US" w:eastAsia="zh-CN"/>
        </w:rPr>
      </w:pPr>
      <w:bookmarkStart w:id="0" w:name="_Toc4691_WPSOffice_Level1"/>
      <w:bookmarkStart w:id="1" w:name="_Toc8044_WPSOffice_Level1"/>
      <w:r>
        <w:rPr>
          <w:rFonts w:hint="eastAsia" w:ascii="宋体" w:hAnsi="宋体" w:cs="宋体"/>
          <w:sz w:val="44"/>
          <w:szCs w:val="44"/>
          <w:lang w:val="en-US" w:eastAsia="zh-CN"/>
        </w:rPr>
        <w:t xml:space="preserve">                                                                                                                                                                                                                                                                                                                                                                                                                                                                                                                                                                                                                                                                                                                                                           </w:t>
      </w:r>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614" w:firstLineChars="1200"/>
        <w:rPr>
          <w:rFonts w:ascii="宋体" w:hAnsi="宋体" w:cs="宋体"/>
          <w:b/>
          <w:sz w:val="30"/>
          <w:szCs w:val="30"/>
        </w:rPr>
      </w:pP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ind w:firstLine="640" w:firstLineChars="200"/>
        <w:jc w:val="left"/>
        <w:rPr>
          <w:rFonts w:ascii="仿宋" w:hAnsi="仿宋" w:eastAsia="仿宋" w:cs="仿宋"/>
          <w:sz w:val="32"/>
          <w:szCs w:val="32"/>
        </w:rPr>
      </w:pPr>
      <w:r>
        <w:rPr>
          <w:rFonts w:ascii="仿宋" w:hAnsi="仿宋" w:eastAsia="仿宋" w:cs="仿宋"/>
          <w:sz w:val="32"/>
          <w:szCs w:val="32"/>
        </w:rPr>
        <w:t>1、贯彻执行党和国家的教育方针、政策和有关教育方面的各项法律法规，实施学前阶段教育，促进基础教育健康发展。</w:t>
      </w:r>
    </w:p>
    <w:p>
      <w:pPr>
        <w:ind w:firstLine="640" w:firstLineChars="200"/>
        <w:jc w:val="left"/>
        <w:rPr>
          <w:rFonts w:ascii="仿宋" w:hAnsi="仿宋" w:eastAsia="仿宋" w:cs="仿宋"/>
          <w:sz w:val="32"/>
          <w:szCs w:val="32"/>
        </w:rPr>
      </w:pPr>
      <w:r>
        <w:rPr>
          <w:rFonts w:ascii="仿宋" w:hAnsi="仿宋" w:eastAsia="仿宋" w:cs="仿宋"/>
          <w:sz w:val="32"/>
          <w:szCs w:val="32"/>
        </w:rPr>
        <w:t>2、加强教师队伍管理，创新管理和评价考核机制，继续打造高效课堂，提高教育教学质量，为每一位学生的健康全面发展打造优质的平台。</w:t>
      </w:r>
    </w:p>
    <w:p>
      <w:pPr>
        <w:ind w:firstLine="640" w:firstLineChars="200"/>
        <w:jc w:val="left"/>
        <w:rPr>
          <w:rFonts w:ascii="仿宋" w:hAnsi="仿宋" w:eastAsia="仿宋" w:cs="仿宋"/>
          <w:sz w:val="32"/>
          <w:szCs w:val="32"/>
        </w:rPr>
      </w:pPr>
      <w:r>
        <w:rPr>
          <w:rFonts w:ascii="仿宋" w:hAnsi="仿宋" w:eastAsia="仿宋" w:cs="仿宋"/>
          <w:sz w:val="32"/>
          <w:szCs w:val="32"/>
        </w:rPr>
        <w:t>3、抓好常规教学的同时圆满完成教育均衡发展国家级验收工作，补齐短板，争取高标准配齐配足相应设施设备。</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ind w:firstLine="640" w:firstLineChars="200"/>
        <w:rPr>
          <w:rFonts w:ascii="仿宋" w:hAnsi="仿宋" w:eastAsia="仿宋" w:cs="仿宋"/>
          <w:sz w:val="32"/>
          <w:szCs w:val="32"/>
        </w:rPr>
      </w:pPr>
      <w:r>
        <w:rPr>
          <w:rFonts w:ascii="宋体" w:hAnsi="宋体" w:eastAsia="仿宋_GB2312" w:cs="Times New Roman"/>
          <w:sz w:val="32"/>
          <w:szCs w:val="32"/>
        </w:rPr>
        <w:t>我单位直属朔城区教育局，是二级单位，无下属单位。从预算单位构成看，本单位部门决算包括：本级决算。</w:t>
      </w:r>
    </w:p>
    <w:p>
      <w:pPr>
        <w:rPr>
          <w:rFonts w:ascii="仿宋" w:hAnsi="仿宋" w:eastAsia="仿宋" w:cs="仿宋"/>
          <w:sz w:val="32"/>
          <w:szCs w:val="32"/>
        </w:rPr>
      </w:pP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17336_WPSOffice_Level1"/>
      <w:bookmarkStart w:id="4" w:name="_Toc25884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1653_WPSOffice_Level2"/>
      <w:bookmarkStart w:id="6" w:name="_Toc22880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hint="eastAsia" w:ascii="宋体" w:hAnsi="宋体" w:eastAsia="仿宋_GB2312" w:cs="Times New Roman"/>
          <w:sz w:val="32"/>
          <w:szCs w:val="32"/>
          <w:lang w:eastAsia="zh-CN"/>
        </w:rPr>
      </w:pPr>
      <w:bookmarkStart w:id="7" w:name="_Toc1438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 度 收 入 总 计</w:t>
      </w:r>
      <w:r>
        <w:rPr>
          <w:rFonts w:hint="eastAsia" w:ascii="宋体" w:hAnsi="宋体" w:eastAsia="仿宋_GB2312" w:cs="Times New Roman"/>
          <w:sz w:val="32"/>
          <w:szCs w:val="32"/>
          <w:lang w:val="en-US" w:eastAsia="zh-CN"/>
        </w:rPr>
        <w:t>428.45</w:t>
      </w:r>
      <w:r>
        <w:rPr>
          <w:rFonts w:hint="eastAsia" w:ascii="宋体" w:hAnsi="宋体" w:eastAsia="仿宋_GB2312" w:cs="Times New Roman"/>
          <w:sz w:val="32"/>
          <w:szCs w:val="32"/>
        </w:rPr>
        <w:t>万元 、 支 出 总 计</w:t>
      </w:r>
      <w:r>
        <w:rPr>
          <w:rFonts w:hint="eastAsia" w:ascii="宋体" w:hAnsi="宋体" w:eastAsia="仿宋_GB2312" w:cs="Times New Roman"/>
          <w:sz w:val="32"/>
          <w:szCs w:val="32"/>
          <w:lang w:val="en-US" w:eastAsia="zh-CN"/>
        </w:rPr>
        <w:t>428.45</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年相比,收入总计增加</w:t>
      </w:r>
      <w:r>
        <w:rPr>
          <w:rFonts w:hint="eastAsia" w:ascii="宋体" w:hAnsi="宋体" w:eastAsia="仿宋_GB2312" w:cs="Times New Roman"/>
          <w:sz w:val="32"/>
          <w:szCs w:val="32"/>
          <w:lang w:val="en-US" w:eastAsia="zh-CN"/>
        </w:rPr>
        <w:t>70.67</w:t>
      </w:r>
      <w:r>
        <w:rPr>
          <w:rFonts w:hint="eastAsia" w:ascii="宋体" w:hAnsi="宋体" w:eastAsia="仿宋_GB2312" w:cs="Times New Roman"/>
          <w:sz w:val="32"/>
          <w:szCs w:val="32"/>
        </w:rPr>
        <w:t>万元，支出总计增加</w:t>
      </w:r>
      <w:r>
        <w:rPr>
          <w:rFonts w:hint="eastAsia" w:ascii="宋体" w:hAnsi="宋体" w:eastAsia="仿宋_GB2312" w:cs="Times New Roman"/>
          <w:sz w:val="32"/>
          <w:szCs w:val="32"/>
          <w:lang w:val="en-US" w:eastAsia="zh-CN"/>
        </w:rPr>
        <w:t>70.67</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eastAsia="zh-CN"/>
        </w:rPr>
        <w:t>幼儿人数的增加，增加在编教师工资福利支出，增加鄯阳书院重新修缮复原工程款的支出。</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6621_WPSOffice_Level2"/>
      <w:bookmarkStart w:id="9" w:name="_Toc504_WPSOffice_Level2"/>
      <w:r>
        <w:rPr>
          <w:rFonts w:hint="eastAsia" w:ascii="宋体" w:hAnsi="宋体" w:eastAsia="仿宋_GB2312" w:cs="Times New Roman"/>
          <w:sz w:val="32"/>
          <w:szCs w:val="32"/>
        </w:rPr>
        <w:t>本年收入合计</w:t>
      </w:r>
      <w:r>
        <w:rPr>
          <w:rFonts w:hint="eastAsia" w:ascii="宋体" w:hAnsi="宋体" w:eastAsia="仿宋_GB2312" w:cs="Times New Roman"/>
          <w:sz w:val="32"/>
          <w:szCs w:val="32"/>
          <w:lang w:val="en-US" w:eastAsia="zh-CN"/>
        </w:rPr>
        <w:t>428.45</w:t>
      </w:r>
      <w:r>
        <w:rPr>
          <w:rFonts w:hint="eastAsia" w:ascii="宋体" w:hAnsi="宋体" w:eastAsia="仿宋_GB2312" w:cs="Times New Roman"/>
          <w:sz w:val="32"/>
          <w:szCs w:val="32"/>
        </w:rPr>
        <w:t>万元，其中：财政拨款收入</w:t>
      </w:r>
      <w:r>
        <w:rPr>
          <w:rFonts w:hint="eastAsia" w:ascii="仿宋" w:hAnsi="仿宋" w:eastAsia="仿宋" w:cs="仿宋"/>
          <w:sz w:val="32"/>
          <w:szCs w:val="32"/>
          <w:lang w:val="en-US" w:eastAsia="zh-CN"/>
        </w:rPr>
        <w:t>234.99</w:t>
      </w:r>
      <w:r>
        <w:rPr>
          <w:rFonts w:hint="eastAsia" w:ascii="宋体" w:hAnsi="宋体" w:eastAsia="仿宋_GB2312" w:cs="Times New Roman"/>
          <w:sz w:val="32"/>
          <w:szCs w:val="32"/>
        </w:rPr>
        <w:t>万元;上级补助收入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万元；事业收入 </w:t>
      </w:r>
      <w:r>
        <w:rPr>
          <w:rFonts w:hint="eastAsia" w:ascii="宋体" w:hAnsi="宋体" w:eastAsia="仿宋_GB2312" w:cs="Times New Roman"/>
          <w:sz w:val="32"/>
          <w:szCs w:val="32"/>
          <w:lang w:val="en-US" w:eastAsia="zh-CN"/>
        </w:rPr>
        <w:t>193.46</w:t>
      </w:r>
      <w:r>
        <w:rPr>
          <w:rFonts w:hint="eastAsia" w:ascii="宋体" w:hAnsi="宋体" w:eastAsia="仿宋_GB2312" w:cs="Times New Roman"/>
          <w:sz w:val="32"/>
          <w:szCs w:val="32"/>
        </w:rPr>
        <w:t>万元；经营收入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万元；附属单位上缴收入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万元；其他收入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8754_WPSOffice_Level2"/>
      <w:bookmarkStart w:id="11" w:name="_Toc32119_WPSOffice_Level2"/>
      <w:r>
        <w:rPr>
          <w:rFonts w:hint="eastAsia" w:ascii="宋体" w:hAnsi="宋体" w:eastAsia="仿宋_GB2312" w:cs="Times New Roman"/>
          <w:sz w:val="32"/>
          <w:szCs w:val="32"/>
        </w:rPr>
        <w:t>本年支出合计</w:t>
      </w:r>
      <w:r>
        <w:rPr>
          <w:rFonts w:hint="eastAsia" w:ascii="宋体" w:hAnsi="宋体" w:eastAsia="仿宋_GB2312" w:cs="Times New Roman"/>
          <w:sz w:val="32"/>
          <w:szCs w:val="32"/>
          <w:lang w:val="en-US" w:eastAsia="zh-CN"/>
        </w:rPr>
        <w:t>428.45</w:t>
      </w:r>
      <w:r>
        <w:rPr>
          <w:rFonts w:hint="eastAsia" w:ascii="宋体" w:hAnsi="宋体" w:eastAsia="仿宋_GB2312" w:cs="Times New Roman"/>
          <w:sz w:val="32"/>
          <w:szCs w:val="32"/>
        </w:rPr>
        <w:t>万元 ，其中：基本支出</w:t>
      </w:r>
      <w:r>
        <w:rPr>
          <w:rFonts w:hint="eastAsia" w:ascii="仿宋" w:hAnsi="仿宋" w:eastAsia="仿宋" w:cs="仿宋"/>
          <w:sz w:val="32"/>
          <w:szCs w:val="32"/>
          <w:lang w:val="en-US" w:eastAsia="zh-CN"/>
        </w:rPr>
        <w:t>33.38</w:t>
      </w:r>
      <w:r>
        <w:rPr>
          <w:rFonts w:hint="eastAsia" w:ascii="宋体" w:hAnsi="宋体" w:eastAsia="仿宋_GB2312" w:cs="Times New Roman"/>
          <w:sz w:val="32"/>
          <w:szCs w:val="32"/>
        </w:rPr>
        <w:t>万元 ；项目支出</w:t>
      </w:r>
      <w:r>
        <w:rPr>
          <w:rFonts w:hint="eastAsia" w:ascii="仿宋" w:hAnsi="仿宋" w:eastAsia="仿宋" w:cs="仿宋"/>
          <w:sz w:val="32"/>
          <w:szCs w:val="32"/>
          <w:lang w:val="en-US" w:eastAsia="zh-CN"/>
        </w:rPr>
        <w:t>395.06</w:t>
      </w:r>
      <w:r>
        <w:rPr>
          <w:rFonts w:hint="eastAsia" w:ascii="宋体" w:hAnsi="宋体" w:eastAsia="仿宋_GB2312" w:cs="Times New Roman"/>
          <w:sz w:val="32"/>
          <w:szCs w:val="32"/>
        </w:rPr>
        <w:t>万元；上缴上级支出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万元；对附属单位补助支出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ind w:firstLine="640" w:firstLineChars="200"/>
        <w:rPr>
          <w:rFonts w:ascii="宋体" w:hAnsi="宋体" w:eastAsia="仿宋_GB2312" w:cs="Times New Roman"/>
          <w:sz w:val="32"/>
          <w:szCs w:val="32"/>
        </w:rPr>
      </w:pPr>
      <w:bookmarkStart w:id="12" w:name="_Toc23250_WPSOffice_Level2"/>
      <w:bookmarkStart w:id="13" w:name="_Toc2892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年度财政拨款收入总计</w:t>
      </w:r>
      <w:r>
        <w:rPr>
          <w:rFonts w:hint="eastAsia" w:ascii="仿宋" w:hAnsi="仿宋" w:eastAsia="仿宋" w:cs="仿宋"/>
          <w:sz w:val="32"/>
          <w:szCs w:val="32"/>
          <w:lang w:val="en-US" w:eastAsia="zh-CN"/>
        </w:rPr>
        <w:t>234.99</w:t>
      </w:r>
      <w:r>
        <w:rPr>
          <w:rFonts w:hint="eastAsia" w:ascii="宋体" w:hAnsi="宋体" w:eastAsia="仿宋_GB2312" w:cs="Times New Roman"/>
          <w:sz w:val="32"/>
          <w:szCs w:val="32"/>
        </w:rPr>
        <w:t>万元、支出总计</w:t>
      </w:r>
      <w:r>
        <w:rPr>
          <w:rFonts w:hint="eastAsia" w:ascii="仿宋" w:hAnsi="仿宋" w:eastAsia="仿宋" w:cs="仿宋"/>
          <w:sz w:val="32"/>
          <w:szCs w:val="32"/>
          <w:lang w:val="en-US" w:eastAsia="zh-CN"/>
        </w:rPr>
        <w:t>234.99</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年相比，财政拨款收入总计增加</w:t>
      </w:r>
      <w:r>
        <w:rPr>
          <w:rFonts w:hint="eastAsia" w:ascii="宋体" w:hAnsi="宋体" w:eastAsia="仿宋_GB2312" w:cs="Times New Roman"/>
          <w:sz w:val="32"/>
          <w:szCs w:val="32"/>
          <w:lang w:val="en-US" w:eastAsia="zh-CN"/>
        </w:rPr>
        <w:t>8.3</w:t>
      </w:r>
      <w:r>
        <w:rPr>
          <w:rFonts w:hint="eastAsia" w:ascii="宋体" w:hAnsi="宋体" w:eastAsia="仿宋_GB2312" w:cs="Times New Roman"/>
          <w:sz w:val="32"/>
          <w:szCs w:val="32"/>
        </w:rPr>
        <w:t>万元，增长</w:t>
      </w:r>
      <w:r>
        <w:rPr>
          <w:rFonts w:hint="eastAsia" w:ascii="宋体" w:hAnsi="宋体" w:eastAsia="仿宋_GB2312" w:cs="Times New Roman"/>
          <w:sz w:val="32"/>
          <w:szCs w:val="32"/>
          <w:lang w:val="en-US" w:eastAsia="zh-CN"/>
        </w:rPr>
        <w:t>3.66</w:t>
      </w:r>
      <w:r>
        <w:rPr>
          <w:rFonts w:hint="eastAsia" w:ascii="宋体" w:hAnsi="宋体" w:eastAsia="仿宋_GB2312" w:cs="Times New Roman"/>
          <w:sz w:val="32"/>
          <w:szCs w:val="32"/>
        </w:rPr>
        <w:t>%。主要原因是：</w:t>
      </w:r>
      <w:r>
        <w:rPr>
          <w:rFonts w:hint="eastAsia" w:ascii="宋体" w:hAnsi="宋体" w:eastAsia="仿宋_GB2312" w:cs="Times New Roman"/>
          <w:sz w:val="32"/>
          <w:szCs w:val="32"/>
          <w:lang w:eastAsia="zh-CN"/>
        </w:rPr>
        <w:t>本年鄯阳书院重新修缮复原工程款增加，在职人员普调工资增加，故我单位本年收支增加。</w:t>
      </w:r>
      <w:r>
        <w:rPr>
          <w:rFonts w:hint="eastAsia" w:ascii="宋体" w:hAnsi="宋体" w:eastAsia="仿宋_GB2312" w:cs="Times New Roman"/>
          <w:sz w:val="32"/>
          <w:szCs w:val="32"/>
        </w:rPr>
        <w:t xml:space="preserve"> </w:t>
      </w:r>
    </w:p>
    <w:p>
      <w:pPr>
        <w:spacing w:line="204" w:lineRule="auto"/>
        <w:jc w:val="left"/>
        <w:rPr>
          <w:rFonts w:ascii="楷体" w:hAnsi="楷体" w:eastAsia="楷体" w:cs="楷体"/>
          <w:spacing w:val="-3"/>
          <w:sz w:val="32"/>
          <w:szCs w:val="32"/>
        </w:rPr>
      </w:pPr>
      <w:r>
        <w:rPr>
          <w:rFonts w:hint="eastAsia" w:ascii="宋体" w:hAnsi="宋体" w:eastAsia="仿宋_GB2312" w:cs="Times New Roman"/>
          <w:sz w:val="32"/>
          <w:szCs w:val="32"/>
        </w:rPr>
        <w:t xml:space="preserve"> </w:t>
      </w: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234.99</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年相比，财政拨款支出增加</w:t>
      </w:r>
      <w:r>
        <w:rPr>
          <w:rFonts w:hint="eastAsia" w:ascii="宋体" w:hAnsi="宋体" w:eastAsia="仿宋_GB2312" w:cs="Times New Roman"/>
          <w:sz w:val="32"/>
          <w:szCs w:val="32"/>
          <w:lang w:val="en-US" w:eastAsia="zh-CN"/>
        </w:rPr>
        <w:t>8.3</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eastAsia="zh-CN"/>
        </w:rPr>
        <w:t>本年鄯阳书院重新修缮复原工程款增加，在职人员普调工资增加，故我单位本年收支增加。</w:t>
      </w:r>
      <w:r>
        <w:rPr>
          <w:rFonts w:hint="eastAsia" w:ascii="宋体" w:hAnsi="宋体" w:eastAsia="仿宋_GB2312" w:cs="Times New Roman"/>
          <w:sz w:val="32"/>
          <w:szCs w:val="32"/>
        </w:rPr>
        <w:t xml:space="preserve"> </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1066_WPSOffice_Level2"/>
      <w:bookmarkStart w:id="15" w:name="_Toc27424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234.99</w:t>
      </w:r>
      <w:r>
        <w:rPr>
          <w:rFonts w:hint="eastAsia" w:ascii="宋体" w:hAnsi="宋体" w:eastAsia="仿宋_GB2312" w:cs="Times New Roman"/>
          <w:sz w:val="32"/>
          <w:szCs w:val="32"/>
        </w:rPr>
        <w:t>万元，主要用于以下方面：</w:t>
      </w:r>
      <w:r>
        <w:rPr>
          <w:rFonts w:hint="eastAsia" w:ascii="宋体" w:hAnsi="宋体" w:eastAsia="仿宋_GB2312" w:cs="Times New Roman"/>
          <w:sz w:val="32"/>
          <w:szCs w:val="32"/>
          <w:lang w:val="en-US" w:eastAsia="zh-CN"/>
        </w:rPr>
        <w:t>2050201学前教育233.99</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99.57</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2069999其他科学技术</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0.43</w:t>
      </w:r>
      <w:r>
        <w:rPr>
          <w:rFonts w:hint="eastAsia" w:ascii="宋体" w:hAnsi="宋体" w:eastAsia="仿宋_GB2312" w:cs="Times New Roman"/>
          <w:sz w:val="32"/>
          <w:szCs w:val="32"/>
        </w:rPr>
        <w:t>%</w:t>
      </w:r>
      <w:r>
        <w:rPr>
          <w:rFonts w:hint="eastAsia" w:ascii="仿宋" w:hAnsi="仿宋" w:eastAsia="仿宋" w:cs="仿宋"/>
          <w:spacing w:val="4"/>
          <w:sz w:val="32"/>
          <w:szCs w:val="32"/>
        </w:rPr>
        <w:t>。</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年度一般公共预算财政拨款支出当年调整预算数</w:t>
      </w:r>
      <w:r>
        <w:rPr>
          <w:rFonts w:hint="eastAsia" w:ascii="仿宋" w:hAnsi="仿宋" w:eastAsia="仿宋" w:cs="仿宋"/>
          <w:sz w:val="32"/>
          <w:szCs w:val="32"/>
          <w:lang w:val="en-US" w:eastAsia="zh-CN"/>
        </w:rPr>
        <w:t>234.99</w:t>
      </w:r>
      <w:r>
        <w:rPr>
          <w:rFonts w:hint="eastAsia" w:ascii="宋体" w:hAnsi="宋体" w:eastAsia="仿宋_GB2312" w:cs="Times New Roman"/>
          <w:sz w:val="32"/>
          <w:szCs w:val="32"/>
        </w:rPr>
        <w:t>万元，支出决算为</w:t>
      </w:r>
      <w:r>
        <w:rPr>
          <w:rFonts w:hint="eastAsia" w:ascii="仿宋" w:hAnsi="仿宋" w:eastAsia="仿宋" w:cs="仿宋"/>
          <w:sz w:val="32"/>
          <w:szCs w:val="32"/>
          <w:lang w:val="en-US" w:eastAsia="zh-CN"/>
        </w:rPr>
        <w:t>234.99</w:t>
      </w:r>
      <w:r>
        <w:rPr>
          <w:rFonts w:hint="eastAsia" w:ascii="宋体" w:hAnsi="宋体" w:eastAsia="仿宋_GB2312" w:cs="Times New Roman"/>
          <w:sz w:val="32"/>
          <w:szCs w:val="32"/>
        </w:rPr>
        <w:t>万元，完成当年调整预算的</w:t>
      </w:r>
      <w:r>
        <w:rPr>
          <w:rFonts w:hint="eastAsia" w:ascii="宋体" w:hAnsi="宋体" w:eastAsia="仿宋_GB2312" w:cs="Times New Roman"/>
          <w:sz w:val="32"/>
          <w:szCs w:val="32"/>
          <w:lang w:val="en-US" w:eastAsia="zh-CN"/>
        </w:rPr>
        <w:t>100</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hint="eastAsia" w:ascii="宋体" w:hAnsi="宋体" w:eastAsia="仿宋_GB2312" w:cs="Times New Roman"/>
          <w:sz w:val="32"/>
          <w:szCs w:val="32"/>
          <w:lang w:val="en-US" w:eastAsia="zh-CN"/>
        </w:rPr>
      </w:pPr>
      <w:bookmarkStart w:id="16" w:name="_Toc28951_WPSOffice_Level2"/>
      <w:bookmarkStart w:id="17" w:name="_Toc2199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年度财政拨款基本支出</w:t>
      </w:r>
      <w:r>
        <w:rPr>
          <w:rFonts w:hint="eastAsia" w:ascii="仿宋" w:hAnsi="仿宋" w:eastAsia="仿宋" w:cs="仿宋"/>
          <w:spacing w:val="4"/>
          <w:sz w:val="32"/>
          <w:szCs w:val="32"/>
          <w:lang w:val="en-US" w:eastAsia="zh-CN"/>
        </w:rPr>
        <w:t>33.38</w:t>
      </w:r>
      <w:r>
        <w:rPr>
          <w:rFonts w:hint="eastAsia" w:ascii="宋体" w:hAnsi="宋体" w:eastAsia="仿宋_GB2312" w:cs="Times New Roman"/>
          <w:sz w:val="32"/>
          <w:szCs w:val="32"/>
        </w:rPr>
        <w:t>万元。人员经费</w:t>
      </w:r>
      <w:r>
        <w:rPr>
          <w:rFonts w:hint="eastAsia" w:ascii="仿宋" w:hAnsi="仿宋" w:eastAsia="仿宋" w:cs="仿宋"/>
          <w:spacing w:val="4"/>
          <w:sz w:val="32"/>
          <w:szCs w:val="32"/>
          <w:lang w:val="en-US" w:eastAsia="zh-CN"/>
        </w:rPr>
        <w:t>33.38</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lang w:val="en-US" w:eastAsia="zh-CN"/>
        </w:rPr>
        <w:t>33.38</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320" w:firstLineChars="100"/>
        <w:rPr>
          <w:rFonts w:ascii="宋体" w:hAnsi="宋体" w:eastAsia="仿宋_GB2312" w:cs="Times New Roman"/>
          <w:sz w:val="32"/>
          <w:szCs w:val="32"/>
        </w:rPr>
      </w:pPr>
      <w:r>
        <w:rPr>
          <w:rFonts w:hint="eastAsia" w:ascii="宋体" w:hAnsi="宋体" w:eastAsia="仿宋_GB2312" w:cs="Times New Roman"/>
          <w:sz w:val="32"/>
          <w:szCs w:val="32"/>
          <w:lang w:eastAsia="zh-CN"/>
        </w:rPr>
        <w:t>我单位本年度无</w:t>
      </w:r>
      <w:r>
        <w:rPr>
          <w:rFonts w:hint="eastAsia" w:ascii="楷体" w:hAnsi="楷体" w:eastAsia="楷体" w:cs="楷体"/>
          <w:spacing w:val="-3"/>
          <w:sz w:val="32"/>
          <w:szCs w:val="32"/>
        </w:rPr>
        <w:t>“三公”经费支出</w:t>
      </w:r>
      <w:r>
        <w:rPr>
          <w:rFonts w:hint="eastAsia" w:ascii="宋体" w:hAnsi="宋体" w:eastAsia="仿宋_GB2312" w:cs="Times New Roman"/>
          <w:sz w:val="32"/>
          <w:szCs w:val="32"/>
        </w:rPr>
        <w:t>。</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我单位</w:t>
      </w:r>
      <w:r>
        <w:rPr>
          <w:rFonts w:hint="eastAsia" w:ascii="宋体" w:hAnsi="宋体" w:eastAsia="仿宋_GB2312" w:cs="Times New Roman"/>
          <w:sz w:val="32"/>
          <w:szCs w:val="32"/>
        </w:rPr>
        <w:t>无机关运行经费。</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我单位</w:t>
      </w:r>
      <w:r>
        <w:rPr>
          <w:rFonts w:hint="eastAsia" w:ascii="宋体" w:hAnsi="宋体" w:eastAsia="仿宋_GB2312" w:cs="Times New Roman"/>
          <w:sz w:val="32"/>
          <w:szCs w:val="32"/>
        </w:rPr>
        <w:t>无政府采购业务支</w:t>
      </w:r>
      <w:bookmarkStart w:id="20" w:name="_GoBack"/>
      <w:bookmarkEnd w:id="20"/>
      <w:r>
        <w:rPr>
          <w:rFonts w:hint="eastAsia" w:ascii="宋体" w:hAnsi="宋体" w:eastAsia="仿宋_GB2312" w:cs="Times New Roman"/>
          <w:sz w:val="32"/>
          <w:szCs w:val="32"/>
        </w:rPr>
        <w:t>出情况。</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年12月31日，本部门共有车辆</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辆，其中，主要领导干部用车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辆、机要通信用车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辆、应急保障用车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辆、执法执勤用车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辆、特种专业技术用车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辆、离退休干部用车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辆、其他用车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 单价50万元（含）以上的通用设备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 单价100万元（含）以上专用设备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ind w:firstLine="320" w:firstLineChars="100"/>
        <w:rPr>
          <w:rFonts w:ascii="宋体" w:hAnsi="宋体" w:eastAsia="仿宋_GB2312" w:cs="Times New Roman"/>
          <w:sz w:val="32"/>
          <w:szCs w:val="32"/>
        </w:rPr>
      </w:pPr>
      <w:r>
        <w:rPr>
          <w:rFonts w:hint="eastAsia" w:ascii="宋体" w:hAnsi="宋体" w:eastAsia="仿宋_GB2312" w:cs="Times New Roman"/>
          <w:sz w:val="32"/>
          <w:szCs w:val="32"/>
        </w:rPr>
        <w:t>我单位本年未开展绩效管理工作。</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18" w:name="_Toc32537"/>
      <w:bookmarkStart w:id="19" w:name="_Toc8549_WPSOffice_Level1"/>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18"/>
      <w:bookmarkEnd w:id="19"/>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0ZmIxOWQ3ZDRkZjgxZWFkMTg3YzQzMDcwMTRkYWUifQ=="/>
  </w:docVars>
  <w:rsids>
    <w:rsidRoot w:val="7E3F0B7D"/>
    <w:rsid w:val="000014A7"/>
    <w:rsid w:val="00052B5B"/>
    <w:rsid w:val="00774AFB"/>
    <w:rsid w:val="00E4217F"/>
    <w:rsid w:val="0E115DFD"/>
    <w:rsid w:val="0F006E18"/>
    <w:rsid w:val="0FA36E56"/>
    <w:rsid w:val="11D27EAE"/>
    <w:rsid w:val="20D97C1B"/>
    <w:rsid w:val="23553F43"/>
    <w:rsid w:val="299664C8"/>
    <w:rsid w:val="2A0F5B00"/>
    <w:rsid w:val="341B222F"/>
    <w:rsid w:val="3EAA6689"/>
    <w:rsid w:val="3F28132A"/>
    <w:rsid w:val="409D1CD7"/>
    <w:rsid w:val="40B41679"/>
    <w:rsid w:val="420C45AA"/>
    <w:rsid w:val="452847AC"/>
    <w:rsid w:val="45576E13"/>
    <w:rsid w:val="46F822E7"/>
    <w:rsid w:val="48904B42"/>
    <w:rsid w:val="49221B6F"/>
    <w:rsid w:val="533F74EE"/>
    <w:rsid w:val="570A1F63"/>
    <w:rsid w:val="59835FFD"/>
    <w:rsid w:val="5A564F79"/>
    <w:rsid w:val="5AAB7BE7"/>
    <w:rsid w:val="5ABC4F25"/>
    <w:rsid w:val="5FAA42E4"/>
    <w:rsid w:val="64191A38"/>
    <w:rsid w:val="6544153D"/>
    <w:rsid w:val="68CD37BD"/>
    <w:rsid w:val="6C940C35"/>
    <w:rsid w:val="7A1B2433"/>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2506</Words>
  <Characters>2684</Characters>
  <Lines>5</Lines>
  <Paragraphs>7</Paragraphs>
  <TotalTime>11</TotalTime>
  <ScaleCrop>false</ScaleCrop>
  <LinksUpToDate>false</LinksUpToDate>
  <CharactersWithSpaces>3473</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Administrator</cp:lastModifiedBy>
  <cp:lastPrinted>2022-09-07T00:36:00Z</cp:lastPrinted>
  <dcterms:modified xsi:type="dcterms:W3CDTF">2022-09-08T07:18:11Z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7E34CF06CD084E2E8622D6B37112603F</vt:lpwstr>
  </property>
</Properties>
</file>