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朔州市朔城区第一小学校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黑体" w:hAnsi="黑体" w:eastAsia="黑体" w:cs="黑体"/>
          <w:snapToGrid w:val="0"/>
          <w:color w:val="000000"/>
          <w:spacing w:val="-4"/>
          <w:kern w:val="0"/>
          <w:sz w:val="32"/>
          <w:szCs w:val="32"/>
        </w:rPr>
      </w:pPr>
      <w:r>
        <w:rPr>
          <w:rFonts w:hint="eastAsia" w:ascii="宋体" w:hAnsi="宋体" w:cs="宋体"/>
          <w:b/>
          <w:sz w:val="30"/>
          <w:szCs w:val="30"/>
        </w:rPr>
        <w:fldChar w:fldCharType="end"/>
      </w: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autoSpaceDN w:val="0"/>
        <w:spacing w:line="570" w:lineRule="exact"/>
        <w:ind w:firstLine="450" w:firstLineChars="150"/>
        <w:textAlignment w:val="center"/>
        <w:rPr>
          <w:rFonts w:hint="eastAsia" w:ascii="仿宋" w:hAnsi="仿宋" w:eastAsia="仿宋" w:cs="仿宋"/>
          <w:bCs/>
          <w:sz w:val="30"/>
          <w:szCs w:val="30"/>
        </w:rPr>
      </w:pPr>
      <w:bookmarkStart w:id="2" w:name="_Toc7430_WPSOffice_Level1"/>
      <w:r>
        <w:rPr>
          <w:rFonts w:hint="eastAsia" w:ascii="仿宋" w:hAnsi="仿宋" w:eastAsia="仿宋" w:cs="仿宋"/>
          <w:bCs/>
          <w:sz w:val="30"/>
          <w:szCs w:val="30"/>
        </w:rPr>
        <w:t>（一）主要职能职责</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 朔城区第一小学校是一所财政全额拨款的公立小学，现有在编在册正式教职工59名，36个教学班，建筑面积8961平方米。</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2、主要职能：实施小学义务阶段教育，促进社会基础教育发展。</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3、主要职责：</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（1）宣传贯彻执行党和国家的教育方针、政策、法律法规等，坚持依法治教、依法治学。</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（2）制定符合本校实际的教育发展规划和学校布局调整规划，并抓好组织实施和落实工作。负责本校财务和基建管理，筹措资金，改善办学条件等工作。</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（3）组织适龄少年儿童入学，严格控制辍学，推进普及小学义务教育。</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 xml:space="preserve">（4）组织开展本校的教育教学工作和教育教学改革、科研，负责学生安全教育，全力推进素质教育实施。 </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 xml:space="preserve">（5）按照干部和教师的职数、编制和管理权限，负责本校教师人事管理、继续教育、考核考评等工作。 </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 xml:space="preserve">（6）指导、管理、检查、评价本校的教育教学工作，提高办学质量和办学效益。按照义务教育课程计划，开齐课程，开足课时，全面提高教育教学质量。  </w:t>
      </w:r>
    </w:p>
    <w:p>
      <w:pPr>
        <w:autoSpaceDN w:val="0"/>
        <w:spacing w:line="570" w:lineRule="exact"/>
        <w:ind w:firstLine="450" w:firstLineChars="150"/>
        <w:textAlignment w:val="center"/>
        <w:rPr>
          <w:rFonts w:hint="eastAsia" w:ascii="仿宋" w:hAnsi="仿宋" w:eastAsia="仿宋" w:cs="仿宋"/>
          <w:bCs/>
          <w:sz w:val="30"/>
          <w:szCs w:val="30"/>
        </w:rPr>
      </w:pPr>
      <w:r>
        <w:rPr>
          <w:rFonts w:hint="eastAsia" w:ascii="仿宋" w:hAnsi="仿宋" w:eastAsia="仿宋" w:cs="仿宋"/>
          <w:bCs/>
          <w:sz w:val="30"/>
          <w:szCs w:val="30"/>
        </w:rPr>
        <w:t>（二）机构设置情况</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我单位设置5个处室，分别是：1办公室，职能是负责学校行政管理和日常事务，协调各部门工作；2教导处，职能是负责学校教育教学科研等工作；3政教处，职能是负责学生思想品德、日常管理、安全纪律等工作；4少大队，职能是负责开展少先队品德学习、健康生活、行为规范等各项活动；5庶务处，职能是负责学校货物发放、后勤保障等工作。</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 xml:space="preserve">我单位为隶属于朔城区教育局管理的二级单位，无下属单位。                                               </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本次决算公开为本单位</w:t>
      </w:r>
      <w:r>
        <w:rPr>
          <w:rFonts w:hint="eastAsia" w:ascii="宋体" w:hAnsi="宋体" w:eastAsia="仿宋_GB2312" w:cs="Times New Roman"/>
          <w:sz w:val="32"/>
          <w:szCs w:val="32"/>
        </w:rPr>
        <w:t>本级决算</w:t>
      </w:r>
      <w:r>
        <w:rPr>
          <w:rFonts w:hint="eastAsia" w:ascii="宋体" w:hAnsi="宋体" w:eastAsia="仿宋_GB2312" w:cs="Times New Roman"/>
          <w:sz w:val="32"/>
          <w:szCs w:val="32"/>
          <w:lang w:val="en-US" w:eastAsia="zh-CN"/>
        </w:rPr>
        <w:t>。</w:t>
      </w:r>
    </w:p>
    <w:p>
      <w:pPr>
        <w:autoSpaceDN w:val="0"/>
        <w:spacing w:line="570" w:lineRule="exact"/>
        <w:ind w:firstLine="800" w:firstLineChars="250"/>
        <w:textAlignment w:val="center"/>
        <w:rPr>
          <w:rFonts w:hint="eastAsia" w:ascii="宋体" w:hAnsi="宋体" w:eastAsia="仿宋_GB2312" w:cs="Times New Roman"/>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1"/>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841.58</w:t>
      </w:r>
      <w:r>
        <w:rPr>
          <w:rFonts w:hint="eastAsia" w:ascii="宋体" w:hAnsi="宋体" w:eastAsia="仿宋_GB2312" w:cs="Times New Roman"/>
          <w:sz w:val="32"/>
          <w:szCs w:val="32"/>
        </w:rPr>
        <w:t>万元 、支出总计</w:t>
      </w:r>
      <w:r>
        <w:rPr>
          <w:rFonts w:hint="eastAsia" w:ascii="宋体" w:hAnsi="宋体" w:eastAsia="仿宋_GB2312" w:cs="Times New Roman"/>
          <w:sz w:val="32"/>
          <w:szCs w:val="32"/>
          <w:lang w:val="en-US" w:eastAsia="zh-CN"/>
        </w:rPr>
        <w:t>841.58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99.26</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99.26</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是在编人员退休，减少工资福利支付。</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840.78</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840.78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年初结转和结余</w:t>
      </w:r>
      <w:r>
        <w:rPr>
          <w:rFonts w:hint="eastAsia" w:ascii="宋体" w:hAnsi="宋体" w:eastAsia="仿宋_GB2312" w:cs="Times New Roman"/>
          <w:sz w:val="32"/>
          <w:szCs w:val="32"/>
          <w:lang w:val="en-US" w:eastAsia="zh-CN"/>
        </w:rPr>
        <w:t>0.79万元，</w:t>
      </w:r>
      <w:r>
        <w:rPr>
          <w:rFonts w:hint="eastAsia" w:ascii="宋体" w:hAnsi="宋体" w:eastAsia="仿宋_GB2312" w:cs="Times New Roman"/>
          <w:sz w:val="32"/>
          <w:szCs w:val="32"/>
        </w:rPr>
        <w:t>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841.44</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705.81</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135.63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841.44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841.44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99.40</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10.57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是在编人员退休，减少工资福利支付。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841.44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99.40</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是在编人员退休，减少工资福利支付。</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841.44</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w:t>
      </w:r>
      <w:r>
        <w:rPr>
          <w:rFonts w:hint="eastAsia" w:ascii="宋体" w:hAnsi="宋体" w:eastAsia="仿宋_GB2312" w:cs="Times New Roman"/>
          <w:sz w:val="32"/>
          <w:szCs w:val="32"/>
          <w:lang w:eastAsia="zh-CN"/>
        </w:rPr>
        <w:t>学前教育支出</w:t>
      </w:r>
      <w:r>
        <w:rPr>
          <w:rFonts w:hint="eastAsia" w:ascii="宋体" w:hAnsi="宋体" w:eastAsia="仿宋_GB2312" w:cs="Times New Roman"/>
          <w:sz w:val="32"/>
          <w:szCs w:val="32"/>
          <w:lang w:val="en-US" w:eastAsia="zh-CN"/>
        </w:rPr>
        <w:t>2.13万元，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0.25</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lang w:eastAsia="zh-CN"/>
        </w:rPr>
        <w:t>小学教育科目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800.91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95.18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lang w:eastAsia="zh-CN"/>
        </w:rPr>
        <w:t>其他普通教育</w:t>
      </w:r>
      <w:r>
        <w:rPr>
          <w:rFonts w:hint="eastAsia" w:ascii="宋体" w:hAnsi="宋体" w:eastAsia="仿宋_GB2312" w:cs="Times New Roman"/>
          <w:sz w:val="32"/>
          <w:szCs w:val="32"/>
        </w:rPr>
        <w:t>科目支出</w:t>
      </w:r>
      <w:r>
        <w:rPr>
          <w:rFonts w:hint="eastAsia" w:ascii="宋体" w:hAnsi="宋体" w:eastAsia="仿宋_GB2312" w:cs="Times New Roman"/>
          <w:sz w:val="32"/>
          <w:szCs w:val="32"/>
          <w:lang w:val="en-US" w:eastAsia="zh-CN"/>
        </w:rPr>
        <w:t>10.80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1.28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lang w:eastAsia="zh-CN"/>
        </w:rPr>
        <w:t>其他科学技术</w:t>
      </w:r>
      <w:r>
        <w:rPr>
          <w:rFonts w:hint="eastAsia" w:ascii="宋体" w:hAnsi="宋体" w:eastAsia="仿宋_GB2312" w:cs="Times New Roman"/>
          <w:sz w:val="32"/>
          <w:szCs w:val="32"/>
        </w:rPr>
        <w:t>科目支出</w:t>
      </w:r>
      <w:r>
        <w:rPr>
          <w:rFonts w:hint="eastAsia" w:ascii="宋体" w:hAnsi="宋体" w:eastAsia="仿宋_GB2312" w:cs="Times New Roman"/>
          <w:sz w:val="32"/>
          <w:szCs w:val="32"/>
          <w:lang w:val="en-US" w:eastAsia="zh-CN"/>
        </w:rPr>
        <w:t>5.6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0.67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2080801</w:t>
      </w:r>
      <w:r>
        <w:rPr>
          <w:rFonts w:hint="eastAsia" w:ascii="宋体" w:hAnsi="宋体" w:eastAsia="仿宋_GB2312" w:cs="Times New Roman"/>
          <w:sz w:val="32"/>
          <w:szCs w:val="32"/>
          <w:lang w:eastAsia="zh-CN"/>
        </w:rPr>
        <w:t>死亡抚恤支出</w:t>
      </w:r>
      <w:r>
        <w:rPr>
          <w:rFonts w:hint="eastAsia" w:ascii="宋体" w:hAnsi="宋体" w:eastAsia="仿宋_GB2312" w:cs="Times New Roman"/>
          <w:sz w:val="32"/>
          <w:szCs w:val="32"/>
          <w:lang w:val="en-US" w:eastAsia="zh-CN"/>
        </w:rPr>
        <w:t>22万元，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2.62</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default" w:ascii="仿宋" w:hAnsi="仿宋" w:eastAsia="仿宋_GB2312" w:cs="仿宋"/>
          <w:spacing w:val="4"/>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841.44</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841.44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705.81</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637.28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611.39</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25.89</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68.53</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51.53</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17</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支出</w:t>
      </w:r>
    </w:p>
    <w:bookmarkEnd w:id="18"/>
    <w:bookmarkEnd w:id="19"/>
    <w:p>
      <w:pPr>
        <w:numPr>
          <w:ilvl w:val="0"/>
          <w:numId w:val="2"/>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本单位无</w:t>
      </w:r>
      <w:r>
        <w:rPr>
          <w:rFonts w:hint="eastAsia" w:ascii="宋体" w:hAnsi="宋体" w:eastAsia="仿宋_GB2312" w:cs="Times New Roman"/>
          <w:sz w:val="32"/>
          <w:szCs w:val="32"/>
        </w:rPr>
        <w:t>政府性基金预算财政拨款</w:t>
      </w:r>
      <w:r>
        <w:rPr>
          <w:rFonts w:hint="eastAsia" w:ascii="宋体" w:hAnsi="宋体" w:eastAsia="仿宋_GB2312" w:cs="Times New Roman"/>
          <w:sz w:val="32"/>
          <w:szCs w:val="32"/>
          <w:lang w:eastAsia="zh-CN"/>
        </w:rPr>
        <w:t>。</w:t>
      </w:r>
    </w:p>
    <w:p>
      <w:pPr>
        <w:numPr>
          <w:ilvl w:val="0"/>
          <w:numId w:val="2"/>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本单位是事业单位，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政府采购</w:t>
      </w:r>
      <w:bookmarkStart w:id="22" w:name="_GoBack"/>
      <w:bookmarkEnd w:id="22"/>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00" w:firstLineChars="200"/>
        <w:rPr>
          <w:rFonts w:hint="eastAsia" w:ascii="宋体" w:hAnsi="宋体" w:eastAsia="仿宋_GB2312" w:cs="Times New Roman"/>
          <w:sz w:val="32"/>
          <w:szCs w:val="32"/>
        </w:rPr>
      </w:pPr>
      <w:r>
        <w:rPr>
          <w:rFonts w:hint="eastAsia" w:ascii="仿宋" w:hAnsi="仿宋" w:eastAsia="仿宋" w:cs="仿宋"/>
          <w:bCs/>
          <w:sz w:val="30"/>
          <w:szCs w:val="30"/>
        </w:rPr>
        <w:t xml:space="preserve"> </w:t>
      </w:r>
      <w:r>
        <w:rPr>
          <w:rFonts w:hint="eastAsia" w:ascii="宋体" w:hAnsi="宋体" w:eastAsia="仿宋_GB2312" w:cs="Times New Roman"/>
          <w:sz w:val="32"/>
          <w:szCs w:val="32"/>
        </w:rPr>
        <w:t>截止2021年12月31日，我单位占用国有资产共计338.32万元，其中：</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（1）车辆情况：无车辆</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（2）房屋情况：房屋及构筑物共计109.41万元</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（3）其他国有资产占有使用情况：通用设备73.3万元，专用设备93.83万元，图书档案1.39万元，家具用具60.39万元。</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本单位无单价50万元（含）以上的通用设备，无单价100万元（含）以上的专用设备。</w:t>
      </w:r>
    </w:p>
    <w:p>
      <w:pPr>
        <w:numPr>
          <w:ilvl w:val="0"/>
          <w:numId w:val="0"/>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lang w:val="en-US" w:eastAsia="zh-CN"/>
        </w:rPr>
        <w:t>4、</w:t>
      </w:r>
      <w:r>
        <w:rPr>
          <w:rFonts w:hint="eastAsia" w:ascii="楷体" w:hAnsi="楷体" w:eastAsia="楷体" w:cs="楷体"/>
          <w:spacing w:val="-3"/>
          <w:sz w:val="32"/>
          <w:szCs w:val="32"/>
        </w:rPr>
        <w:t>绩效管理情况</w:t>
      </w:r>
    </w:p>
    <w:p>
      <w:pPr>
        <w:pStyle w:val="10"/>
        <w:ind w:firstLine="0" w:firstLineChars="0"/>
        <w:rPr>
          <w:rFonts w:ascii="仿宋_GB2312" w:hAnsi="宋体" w:eastAsia="仿宋_GB2312"/>
          <w:sz w:val="32"/>
          <w:szCs w:val="32"/>
        </w:rPr>
      </w:pPr>
      <w:r>
        <w:rPr>
          <w:rFonts w:hint="eastAsia" w:ascii="仿宋_GB2312" w:hAnsi="宋体" w:eastAsia="仿宋_GB2312"/>
          <w:sz w:val="32"/>
          <w:szCs w:val="32"/>
        </w:rPr>
        <w:t>（1） 绩效目标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量入为出，达到收支平衡；实事求是，力保正常运转；定期分析，提高绩效。</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w:t>
      </w:r>
      <w:r>
        <w:rPr>
          <w:rFonts w:hint="eastAsia" w:ascii="宋体" w:hAnsi="宋体" w:eastAsia="仿宋_GB2312" w:cs="Times New Roman"/>
          <w:sz w:val="32"/>
          <w:szCs w:val="32"/>
          <w:lang w:eastAsia="zh-CN"/>
        </w:rPr>
        <w:t>目</w:t>
      </w:r>
      <w:r>
        <w:rPr>
          <w:rFonts w:hint="eastAsia" w:ascii="宋体" w:hAnsi="宋体" w:eastAsia="仿宋_GB2312" w:cs="Times New Roman"/>
          <w:sz w:val="32"/>
          <w:szCs w:val="32"/>
          <w:lang w:val="en-US" w:eastAsia="zh-CN"/>
        </w:rPr>
        <w:t>10</w:t>
      </w:r>
      <w:r>
        <w:rPr>
          <w:rFonts w:hint="eastAsia" w:ascii="宋体" w:hAnsi="宋体" w:eastAsia="仿宋_GB2312" w:cs="Times New Roman"/>
          <w:sz w:val="32"/>
          <w:szCs w:val="32"/>
        </w:rPr>
        <w:t>个，涉及一般公共预算当年拨款</w:t>
      </w:r>
      <w:r>
        <w:rPr>
          <w:rFonts w:hint="eastAsia" w:ascii="宋体" w:hAnsi="宋体" w:eastAsia="仿宋_GB2312" w:cs="Times New Roman"/>
          <w:sz w:val="32"/>
          <w:szCs w:val="32"/>
          <w:lang w:val="en-US" w:eastAsia="zh-CN"/>
        </w:rPr>
        <w:t>135.63</w:t>
      </w:r>
      <w:r>
        <w:rPr>
          <w:rFonts w:hint="eastAsia" w:ascii="宋体" w:hAnsi="宋体" w:eastAsia="仿宋_GB2312" w:cs="Times New Roman"/>
          <w:sz w:val="32"/>
          <w:szCs w:val="32"/>
        </w:rPr>
        <w:t>万元。</w:t>
      </w:r>
    </w:p>
    <w:p>
      <w:pPr>
        <w:pStyle w:val="10"/>
        <w:ind w:firstLine="0" w:firstLineChars="0"/>
        <w:rPr>
          <w:rFonts w:ascii="仿宋_GB2312" w:hAnsi="宋体" w:eastAsia="仿宋_GB2312"/>
          <w:sz w:val="32"/>
          <w:szCs w:val="32"/>
        </w:rPr>
      </w:pPr>
      <w:r>
        <w:rPr>
          <w:rFonts w:hint="eastAsia" w:ascii="仿宋_GB2312" w:hAnsi="宋体" w:eastAsia="仿宋_GB2312"/>
          <w:sz w:val="32"/>
          <w:szCs w:val="32"/>
        </w:rPr>
        <w:t>（2）绩效管理</w:t>
      </w:r>
    </w:p>
    <w:p>
      <w:pPr>
        <w:pStyle w:val="10"/>
        <w:ind w:firstLine="0" w:firstLineChars="0"/>
        <w:jc w:val="left"/>
        <w:rPr>
          <w:rFonts w:ascii="仿宋_GB2312" w:hAnsi="宋体" w:eastAsia="仿宋_GB2312"/>
          <w:sz w:val="32"/>
          <w:szCs w:val="32"/>
        </w:rPr>
      </w:pPr>
      <w:r>
        <w:rPr>
          <w:rFonts w:eastAsia="仿宋_GB2312" w:cs="Calibri"/>
          <w:sz w:val="32"/>
          <w:szCs w:val="32"/>
        </w:rPr>
        <w:t>①</w:t>
      </w:r>
      <w:r>
        <w:rPr>
          <w:rFonts w:hint="eastAsia" w:ascii="仿宋_GB2312" w:hAnsi="宋体" w:eastAsia="仿宋_GB2312"/>
          <w:sz w:val="32"/>
          <w:szCs w:val="32"/>
        </w:rPr>
        <w:t>健全财务管理制度，精打细算，提高资金使用效益。</w:t>
      </w:r>
    </w:p>
    <w:p>
      <w:pPr>
        <w:pStyle w:val="10"/>
        <w:ind w:firstLine="0" w:firstLineChars="0"/>
        <w:rPr>
          <w:rFonts w:ascii="仿宋_GB2312" w:hAnsi="宋体" w:eastAsia="仿宋_GB2312"/>
          <w:sz w:val="32"/>
          <w:szCs w:val="32"/>
        </w:rPr>
      </w:pPr>
      <w:r>
        <w:rPr>
          <w:rFonts w:eastAsia="仿宋_GB2312" w:cs="Calibri"/>
          <w:sz w:val="32"/>
          <w:szCs w:val="32"/>
        </w:rPr>
        <w:t>②</w:t>
      </w:r>
      <w:r>
        <w:rPr>
          <w:rFonts w:hint="eastAsia" w:ascii="仿宋_GB2312" w:hAnsi="宋体" w:eastAsia="仿宋_GB2312"/>
          <w:sz w:val="32"/>
          <w:szCs w:val="32"/>
        </w:rPr>
        <w:t>重大经费支出实行一事一议，集体决策，公开透明，力争把有限的资金用在刀刃上。</w:t>
      </w:r>
    </w:p>
    <w:p>
      <w:pPr>
        <w:pStyle w:val="10"/>
        <w:ind w:firstLine="0" w:firstLineChars="0"/>
        <w:rPr>
          <w:rFonts w:ascii="仿宋_GB2312" w:hAnsi="宋体" w:eastAsia="仿宋_GB2312"/>
          <w:sz w:val="32"/>
          <w:szCs w:val="32"/>
        </w:rPr>
      </w:pPr>
      <w:r>
        <w:rPr>
          <w:rFonts w:eastAsia="仿宋_GB2312" w:cs="Calibri"/>
          <w:sz w:val="32"/>
          <w:szCs w:val="32"/>
        </w:rPr>
        <w:t>③</w:t>
      </w:r>
      <w:r>
        <w:rPr>
          <w:rFonts w:hint="eastAsia" w:ascii="仿宋_GB2312" w:hAnsi="宋体" w:eastAsia="仿宋_GB2312"/>
          <w:sz w:val="32"/>
          <w:szCs w:val="32"/>
        </w:rPr>
        <w:t>从严控制非教学性开支，严控“三公”经费开支，合理分配资金，有序开展绩效评价，提高预算绩效管理水平。</w:t>
      </w:r>
    </w:p>
    <w:p>
      <w:pPr>
        <w:pStyle w:val="10"/>
        <w:ind w:firstLine="640" w:firstLineChars="200"/>
        <w:rPr>
          <w:rFonts w:ascii="仿宋_GB2312" w:hAnsi="宋体" w:eastAsia="仿宋_GB2312"/>
          <w:sz w:val="32"/>
          <w:szCs w:val="32"/>
        </w:rPr>
      </w:pPr>
      <w:r>
        <w:rPr>
          <w:rFonts w:hint="eastAsia" w:ascii="仿宋_GB2312" w:hAnsi="宋体" w:eastAsia="仿宋_GB2312"/>
          <w:sz w:val="32"/>
          <w:szCs w:val="32"/>
        </w:rPr>
        <w:t>完善预算绩效监督，合理应用评价结果，财务收支情况基本上反映了本单位的财务状况，收入及支出项目、科目符合有关制度要求和实际情况，保障了学校的正常运转，使本单位在有条不紊的环境中完成了各项任务。</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A50574"/>
    <w:rsid w:val="00E4217F"/>
    <w:rsid w:val="0E115DFD"/>
    <w:rsid w:val="11AB6AC5"/>
    <w:rsid w:val="11D27EAE"/>
    <w:rsid w:val="20D97C1B"/>
    <w:rsid w:val="23553F43"/>
    <w:rsid w:val="299664C8"/>
    <w:rsid w:val="3F28132A"/>
    <w:rsid w:val="49221B6F"/>
    <w:rsid w:val="5AB06F99"/>
    <w:rsid w:val="5EE66F9F"/>
    <w:rsid w:val="6544153D"/>
    <w:rsid w:val="66B16EC9"/>
    <w:rsid w:val="68CD37BD"/>
    <w:rsid w:val="6C940C35"/>
    <w:rsid w:val="77EB7B45"/>
    <w:rsid w:val="7A4810B0"/>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19</TotalTime>
  <ScaleCrop>false</ScaleCrop>
  <LinksUpToDate>false</LinksUpToDate>
  <CharactersWithSpaces>3558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2022-09-20T08:46:43Z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