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48"/>
          <w:szCs w:val="48"/>
        </w:rPr>
      </w:pPr>
    </w:p>
    <w:p>
      <w:pPr>
        <w:jc w:val="center"/>
        <w:rPr>
          <w:rFonts w:ascii="黑体" w:eastAsia="黑体"/>
          <w:sz w:val="44"/>
          <w:szCs w:val="44"/>
        </w:rPr>
      </w:pPr>
      <w:r>
        <w:rPr>
          <w:rFonts w:hint="eastAsia" w:ascii="黑体" w:eastAsia="黑体"/>
          <w:sz w:val="44"/>
          <w:szCs w:val="44"/>
        </w:rPr>
        <w:t>朔州市朔城区第二小学校</w:t>
      </w:r>
    </w:p>
    <w:p>
      <w:pPr>
        <w:jc w:val="center"/>
        <w:rPr>
          <w:rFonts w:ascii="黑体" w:eastAsia="黑体"/>
          <w:sz w:val="44"/>
          <w:szCs w:val="44"/>
        </w:rPr>
      </w:pPr>
      <w:r>
        <w:rPr>
          <w:rFonts w:hint="eastAsia" w:ascii="黑体" w:eastAsia="黑体"/>
          <w:sz w:val="44"/>
          <w:szCs w:val="44"/>
        </w:rPr>
        <w:t>2021年部门决算公开情况说明</w:t>
      </w:r>
    </w:p>
    <w:p>
      <w:pPr>
        <w:spacing w:line="360" w:lineRule="auto"/>
        <w:jc w:val="center"/>
        <w:rPr>
          <w:rFonts w:ascii="宋体" w:hAnsi="宋体" w:cs="宋体"/>
          <w:sz w:val="44"/>
          <w:szCs w:val="44"/>
        </w:rPr>
      </w:pPr>
      <w:bookmarkStart w:id="0" w:name="_Toc8044_WPSOffice_Level1"/>
      <w:bookmarkStart w:id="1" w:name="_Toc4691_WPSOffice_Level1"/>
    </w:p>
    <w:p>
      <w:pPr>
        <w:pStyle w:val="2"/>
      </w:pPr>
    </w:p>
    <w:p>
      <w:pPr>
        <w:spacing w:line="360" w:lineRule="auto"/>
        <w:jc w:val="center"/>
        <w:rPr>
          <w:rFonts w:ascii="宋体" w:hAnsi="宋体" w:cs="宋体"/>
          <w:sz w:val="44"/>
          <w:szCs w:val="44"/>
        </w:rPr>
      </w:pPr>
      <w:r>
        <w:rPr>
          <w:rFonts w:hint="eastAsia" w:ascii="宋体" w:hAnsi="宋体" w:cs="宋体"/>
          <w:sz w:val="44"/>
          <w:szCs w:val="44"/>
        </w:rPr>
        <w:t>目录</w:t>
      </w:r>
    </w:p>
    <w:p>
      <w:pPr>
        <w:pStyle w:val="9"/>
        <w:tabs>
          <w:tab w:val="right" w:leader="dot" w:pos="8336"/>
        </w:tabs>
        <w:spacing w:line="360" w:lineRule="auto"/>
        <w:ind w:firstLine="600" w:firstLineChars="200"/>
        <w:rPr>
          <w:rFonts w:ascii="宋体" w:hAnsi="宋体" w:cs="宋体"/>
          <w:b/>
          <w:sz w:val="30"/>
          <w:szCs w:val="30"/>
        </w:rPr>
      </w:pPr>
      <w:r>
        <w:rPr>
          <w:rFonts w:hint="eastAsia" w:ascii="宋体" w:hAnsi="宋体" w:cs="宋体"/>
          <w:sz w:val="30"/>
          <w:szCs w:val="30"/>
        </w:rPr>
        <w:fldChar w:fldCharType="begin"/>
      </w:r>
      <w:r>
        <w:rPr>
          <w:rFonts w:hint="eastAsia" w:ascii="宋体" w:hAnsi="宋体" w:cs="宋体"/>
          <w:sz w:val="30"/>
          <w:szCs w:val="30"/>
        </w:rPr>
        <w:instrText xml:space="preserve">TOC \o "1-2" \h \u </w:instrText>
      </w:r>
      <w:r>
        <w:rPr>
          <w:rFonts w:hint="eastAsia" w:ascii="宋体" w:hAnsi="宋体" w:cs="宋体"/>
          <w:sz w:val="30"/>
          <w:szCs w:val="30"/>
        </w:rPr>
        <w:fldChar w:fldCharType="separate"/>
      </w:r>
      <w:r>
        <w:fldChar w:fldCharType="begin"/>
      </w:r>
      <w:r>
        <w:instrText xml:space="preserve"> HYPERLINK \l "_Toc13618" </w:instrText>
      </w:r>
      <w:r>
        <w:fldChar w:fldCharType="separate"/>
      </w:r>
      <w:r>
        <w:fldChar w:fldCharType="end"/>
      </w:r>
      <w:r>
        <w:fldChar w:fldCharType="begin"/>
      </w:r>
      <w:r>
        <w:instrText xml:space="preserve"> HYPERLINK \l "_Toc5949" </w:instrText>
      </w:r>
      <w:r>
        <w:fldChar w:fldCharType="separate"/>
      </w:r>
      <w:r>
        <w:rPr>
          <w:rFonts w:hint="eastAsia" w:ascii="宋体" w:hAnsi="宋体" w:cs="宋体"/>
          <w:b/>
          <w:snapToGrid w:val="0"/>
          <w:spacing w:val="-4"/>
          <w:sz w:val="30"/>
          <w:szCs w:val="30"/>
        </w:rPr>
        <w:t>一、单位概况</w:t>
      </w:r>
      <w:r>
        <w:rPr>
          <w:rFonts w:hint="eastAsia" w:ascii="宋体" w:hAnsi="宋体" w:cs="宋体"/>
          <w:b/>
          <w:snapToGrid w:val="0"/>
          <w:spacing w:val="-4"/>
          <w:sz w:val="30"/>
          <w:szCs w:val="30"/>
        </w:rPr>
        <w:fldChar w:fldCharType="end"/>
      </w:r>
    </w:p>
    <w:p>
      <w:pPr>
        <w:pStyle w:val="10"/>
        <w:tabs>
          <w:tab w:val="right" w:leader="dot" w:pos="8336"/>
        </w:tabs>
        <w:spacing w:line="360" w:lineRule="auto"/>
        <w:ind w:left="420" w:firstLine="294" w:firstLineChars="100"/>
        <w:rPr>
          <w:rFonts w:ascii="宋体" w:hAnsi="宋体" w:cs="宋体"/>
          <w:spacing w:val="-3"/>
          <w:sz w:val="30"/>
          <w:szCs w:val="30"/>
        </w:rPr>
      </w:pPr>
      <w:r>
        <w:rPr>
          <w:rFonts w:hint="eastAsia" w:ascii="宋体" w:hAnsi="宋体" w:cs="宋体"/>
          <w:spacing w:val="-3"/>
          <w:sz w:val="30"/>
          <w:szCs w:val="30"/>
        </w:rPr>
        <w:t>（一）部门职责。</w:t>
      </w:r>
    </w:p>
    <w:p>
      <w:pPr>
        <w:pStyle w:val="10"/>
        <w:tabs>
          <w:tab w:val="right" w:leader="dot" w:pos="8336"/>
        </w:tabs>
        <w:spacing w:line="360" w:lineRule="auto"/>
        <w:ind w:left="420" w:firstLine="294" w:firstLineChars="100"/>
        <w:rPr>
          <w:rFonts w:ascii="宋体" w:hAnsi="宋体" w:cs="宋体"/>
          <w:spacing w:val="-3"/>
          <w:sz w:val="30"/>
          <w:szCs w:val="30"/>
        </w:rPr>
      </w:pPr>
      <w:r>
        <w:rPr>
          <w:rFonts w:hint="eastAsia" w:ascii="宋体" w:hAnsi="宋体" w:cs="宋体"/>
          <w:spacing w:val="-3"/>
          <w:sz w:val="30"/>
          <w:szCs w:val="30"/>
        </w:rPr>
        <w:t>（二）机构设置。</w:t>
      </w:r>
    </w:p>
    <w:p>
      <w:pPr>
        <w:pStyle w:val="9"/>
        <w:tabs>
          <w:tab w:val="right" w:leader="dot" w:pos="8336"/>
        </w:tabs>
        <w:spacing w:line="360" w:lineRule="auto"/>
        <w:ind w:firstLine="600" w:firstLineChars="300"/>
        <w:rPr>
          <w:rFonts w:ascii="宋体" w:hAnsi="宋体" w:cs="宋体"/>
          <w:b/>
          <w:sz w:val="30"/>
          <w:szCs w:val="30"/>
        </w:rPr>
      </w:pPr>
      <w:r>
        <w:fldChar w:fldCharType="begin"/>
      </w:r>
      <w:r>
        <w:instrText xml:space="preserve"> HYPERLINK \l "_Toc21204" </w:instrText>
      </w:r>
      <w:r>
        <w:fldChar w:fldCharType="separate"/>
      </w:r>
      <w:r>
        <w:rPr>
          <w:rFonts w:hint="eastAsia" w:ascii="宋体" w:hAnsi="宋体" w:cs="宋体"/>
          <w:b/>
          <w:snapToGrid w:val="0"/>
          <w:spacing w:val="-4"/>
          <w:sz w:val="30"/>
          <w:szCs w:val="30"/>
        </w:rPr>
        <w:t>二、</w:t>
      </w:r>
      <w:r>
        <w:rPr>
          <w:rFonts w:hint="eastAsia" w:ascii="宋体" w:hAnsi="宋体" w:cs="宋体"/>
          <w:b/>
          <w:snapToGrid w:val="0"/>
          <w:spacing w:val="-4"/>
          <w:sz w:val="30"/>
          <w:szCs w:val="30"/>
        </w:rPr>
        <w:fldChar w:fldCharType="end"/>
      </w:r>
      <w:r>
        <w:rPr>
          <w:rFonts w:hint="eastAsia" w:ascii="宋体" w:hAnsi="宋体" w:cs="宋体"/>
          <w:b/>
          <w:sz w:val="30"/>
          <w:szCs w:val="30"/>
        </w:rPr>
        <w:t>2021年度部门决算公开报表</w:t>
      </w:r>
    </w:p>
    <w:p>
      <w:pPr>
        <w:pStyle w:val="9"/>
        <w:tabs>
          <w:tab w:val="right" w:leader="dot" w:pos="8336"/>
        </w:tabs>
        <w:spacing w:line="360" w:lineRule="auto"/>
        <w:ind w:firstLine="602" w:firstLineChars="200"/>
        <w:rPr>
          <w:rFonts w:ascii="宋体" w:hAnsi="宋体" w:cs="宋体"/>
          <w:b/>
          <w:sz w:val="30"/>
          <w:szCs w:val="30"/>
        </w:rPr>
      </w:pPr>
      <w:r>
        <w:rPr>
          <w:rFonts w:hint="eastAsia" w:ascii="宋体" w:hAnsi="宋体" w:cs="宋体"/>
          <w:b/>
          <w:sz w:val="30"/>
          <w:szCs w:val="30"/>
        </w:rPr>
        <w:t>三、2021年度部门决算情况说明</w:t>
      </w:r>
    </w:p>
    <w:p>
      <w:pPr>
        <w:pStyle w:val="10"/>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（一）</w:t>
      </w:r>
      <w:r>
        <w:fldChar w:fldCharType="begin"/>
      </w:r>
      <w:r>
        <w:instrText xml:space="preserve"> HYPERLINK \l "_Toc8341" </w:instrText>
      </w:r>
      <w:r>
        <w:fldChar w:fldCharType="separate"/>
      </w:r>
      <w:r>
        <w:rPr>
          <w:rFonts w:hint="eastAsia" w:ascii="宋体" w:hAnsi="宋体" w:cs="宋体"/>
          <w:spacing w:val="-3"/>
          <w:sz w:val="30"/>
          <w:szCs w:val="30"/>
        </w:rPr>
        <w:t>收入支出决算总体情况说明</w:t>
      </w:r>
      <w:r>
        <w:rPr>
          <w:rFonts w:hint="eastAsia" w:ascii="宋体" w:hAnsi="宋体" w:cs="宋体"/>
          <w:spacing w:val="-3"/>
          <w:sz w:val="30"/>
          <w:szCs w:val="30"/>
        </w:rPr>
        <w:fldChar w:fldCharType="end"/>
      </w:r>
      <w:r>
        <w:rPr>
          <w:rFonts w:hint="eastAsia" w:ascii="宋体" w:hAnsi="宋体" w:cs="宋体"/>
          <w:sz w:val="30"/>
          <w:szCs w:val="30"/>
        </w:rPr>
        <w:t>。</w:t>
      </w:r>
    </w:p>
    <w:p>
      <w:pPr>
        <w:pStyle w:val="10"/>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（二）</w:t>
      </w:r>
      <w:r>
        <w:fldChar w:fldCharType="begin"/>
      </w:r>
      <w:r>
        <w:instrText xml:space="preserve"> HYPERLINK \l "_Toc748" </w:instrText>
      </w:r>
      <w:r>
        <w:fldChar w:fldCharType="separate"/>
      </w:r>
      <w:r>
        <w:rPr>
          <w:rFonts w:hint="eastAsia" w:ascii="宋体" w:hAnsi="宋体" w:cs="宋体"/>
          <w:spacing w:val="-3"/>
          <w:sz w:val="30"/>
          <w:szCs w:val="30"/>
        </w:rPr>
        <w:t>收入决算情况说明</w:t>
      </w:r>
      <w:r>
        <w:rPr>
          <w:rFonts w:hint="eastAsia" w:ascii="宋体" w:hAnsi="宋体" w:cs="宋体"/>
          <w:sz w:val="30"/>
          <w:szCs w:val="30"/>
        </w:rPr>
        <w:t>。</w:t>
      </w:r>
      <w:r>
        <w:rPr>
          <w:rFonts w:hint="eastAsia" w:ascii="宋体" w:hAnsi="宋体" w:cs="宋体"/>
          <w:sz w:val="30"/>
          <w:szCs w:val="30"/>
        </w:rPr>
        <w:fldChar w:fldCharType="end"/>
      </w:r>
    </w:p>
    <w:p>
      <w:pPr>
        <w:pStyle w:val="10"/>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（三）</w:t>
      </w:r>
      <w:r>
        <w:fldChar w:fldCharType="begin"/>
      </w:r>
      <w:r>
        <w:instrText xml:space="preserve"> HYPERLINK \l "_Toc6782" </w:instrText>
      </w:r>
      <w:r>
        <w:fldChar w:fldCharType="separate"/>
      </w:r>
      <w:r>
        <w:rPr>
          <w:rFonts w:hint="eastAsia" w:ascii="宋体" w:hAnsi="宋体" w:cs="宋体"/>
          <w:spacing w:val="-3"/>
          <w:sz w:val="30"/>
          <w:szCs w:val="30"/>
        </w:rPr>
        <w:t>支出决算情况说明</w:t>
      </w:r>
      <w:r>
        <w:rPr>
          <w:rFonts w:hint="eastAsia" w:ascii="宋体" w:hAnsi="宋体" w:cs="宋体"/>
          <w:sz w:val="30"/>
          <w:szCs w:val="30"/>
        </w:rPr>
        <w:t>。</w:t>
      </w:r>
      <w:r>
        <w:rPr>
          <w:rFonts w:hint="eastAsia" w:ascii="宋体" w:hAnsi="宋体" w:cs="宋体"/>
          <w:sz w:val="30"/>
          <w:szCs w:val="30"/>
        </w:rPr>
        <w:fldChar w:fldCharType="end"/>
      </w:r>
    </w:p>
    <w:p>
      <w:pPr>
        <w:pStyle w:val="10"/>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（四）</w:t>
      </w:r>
      <w:r>
        <w:fldChar w:fldCharType="begin"/>
      </w:r>
      <w:r>
        <w:instrText xml:space="preserve"> HYPERLINK \l "_Toc14644" </w:instrText>
      </w:r>
      <w:r>
        <w:fldChar w:fldCharType="separate"/>
      </w:r>
      <w:r>
        <w:rPr>
          <w:rFonts w:hint="eastAsia" w:ascii="宋体" w:hAnsi="宋体" w:cs="宋体"/>
          <w:spacing w:val="-3"/>
          <w:sz w:val="30"/>
          <w:szCs w:val="30"/>
        </w:rPr>
        <w:t>财政拨款收入支出决算总体情况说明</w:t>
      </w:r>
      <w:r>
        <w:rPr>
          <w:rFonts w:hint="eastAsia" w:ascii="宋体" w:hAnsi="宋体" w:cs="宋体"/>
          <w:sz w:val="30"/>
          <w:szCs w:val="30"/>
        </w:rPr>
        <w:t>。</w:t>
      </w:r>
      <w:r>
        <w:rPr>
          <w:rFonts w:hint="eastAsia" w:ascii="宋体" w:hAnsi="宋体" w:cs="宋体"/>
          <w:sz w:val="30"/>
          <w:szCs w:val="30"/>
        </w:rPr>
        <w:fldChar w:fldCharType="end"/>
      </w:r>
    </w:p>
    <w:p>
      <w:pPr>
        <w:pStyle w:val="10"/>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（五）</w:t>
      </w:r>
      <w:r>
        <w:fldChar w:fldCharType="begin"/>
      </w:r>
      <w:r>
        <w:instrText xml:space="preserve"> HYPERLINK \l "_Toc2367" </w:instrText>
      </w:r>
      <w:r>
        <w:fldChar w:fldCharType="separate"/>
      </w:r>
      <w:r>
        <w:rPr>
          <w:rFonts w:hint="eastAsia" w:ascii="宋体" w:hAnsi="宋体" w:cs="宋体"/>
          <w:spacing w:val="-3"/>
          <w:sz w:val="30"/>
          <w:szCs w:val="30"/>
        </w:rPr>
        <w:t>一般公共预算财政拨款支出决算情况说明</w:t>
      </w:r>
      <w:r>
        <w:rPr>
          <w:rFonts w:hint="eastAsia" w:ascii="宋体" w:hAnsi="宋体" w:cs="宋体"/>
          <w:sz w:val="30"/>
          <w:szCs w:val="30"/>
        </w:rPr>
        <w:t>。</w:t>
      </w:r>
      <w:r>
        <w:rPr>
          <w:rFonts w:hint="eastAsia" w:ascii="宋体" w:hAnsi="宋体" w:cs="宋体"/>
          <w:sz w:val="30"/>
          <w:szCs w:val="30"/>
        </w:rPr>
        <w:fldChar w:fldCharType="end"/>
      </w:r>
    </w:p>
    <w:p>
      <w:pPr>
        <w:pStyle w:val="10"/>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（六）</w:t>
      </w:r>
      <w:r>
        <w:fldChar w:fldCharType="begin"/>
      </w:r>
      <w:r>
        <w:instrText xml:space="preserve"> HYPERLINK \l "_Toc16205" </w:instrText>
      </w:r>
      <w:r>
        <w:fldChar w:fldCharType="separate"/>
      </w:r>
      <w:r>
        <w:rPr>
          <w:rFonts w:hint="eastAsia" w:ascii="宋体" w:hAnsi="宋体" w:cs="宋体"/>
          <w:spacing w:val="-3"/>
          <w:sz w:val="30"/>
          <w:szCs w:val="30"/>
        </w:rPr>
        <w:t>一般公共预算财政拨款基本支出决算情况说明</w:t>
      </w:r>
      <w:r>
        <w:rPr>
          <w:rFonts w:hint="eastAsia" w:ascii="宋体" w:hAnsi="宋体" w:cs="宋体"/>
          <w:sz w:val="30"/>
          <w:szCs w:val="30"/>
        </w:rPr>
        <w:t>。</w:t>
      </w:r>
      <w:r>
        <w:rPr>
          <w:rFonts w:hint="eastAsia" w:ascii="宋体" w:hAnsi="宋体" w:cs="宋体"/>
          <w:sz w:val="30"/>
          <w:szCs w:val="30"/>
        </w:rPr>
        <w:fldChar w:fldCharType="end"/>
      </w:r>
    </w:p>
    <w:p>
      <w:pPr>
        <w:pStyle w:val="10"/>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（七）</w:t>
      </w:r>
      <w:r>
        <w:fldChar w:fldCharType="begin"/>
      </w:r>
      <w:r>
        <w:instrText xml:space="preserve"> HYPERLINK \l "_Toc27268" </w:instrText>
      </w:r>
      <w:r>
        <w:fldChar w:fldCharType="separate"/>
      </w:r>
      <w:r>
        <w:rPr>
          <w:rFonts w:hint="eastAsia" w:ascii="宋体" w:hAnsi="宋体" w:cs="宋体"/>
          <w:spacing w:val="-3"/>
          <w:sz w:val="30"/>
          <w:szCs w:val="30"/>
        </w:rPr>
        <w:t>一般公共预算财政拨款“三公”经费支出决算情况说明</w:t>
      </w:r>
      <w:r>
        <w:rPr>
          <w:rFonts w:hint="eastAsia" w:ascii="宋体" w:hAnsi="宋体" w:cs="宋体"/>
          <w:sz w:val="30"/>
          <w:szCs w:val="30"/>
        </w:rPr>
        <w:t>。</w:t>
      </w:r>
      <w:r>
        <w:rPr>
          <w:rFonts w:hint="eastAsia" w:ascii="宋体" w:hAnsi="宋体" w:cs="宋体"/>
          <w:sz w:val="30"/>
          <w:szCs w:val="30"/>
        </w:rPr>
        <w:fldChar w:fldCharType="end"/>
      </w:r>
    </w:p>
    <w:p>
      <w:pPr>
        <w:pStyle w:val="10"/>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（八）</w:t>
      </w:r>
      <w:r>
        <w:fldChar w:fldCharType="begin"/>
      </w:r>
      <w:r>
        <w:instrText xml:space="preserve"> HYPERLINK \l "_Toc233" </w:instrText>
      </w:r>
      <w:r>
        <w:fldChar w:fldCharType="separate"/>
      </w:r>
      <w:r>
        <w:rPr>
          <w:rFonts w:hint="eastAsia" w:ascii="宋体" w:hAnsi="宋体" w:cs="宋体"/>
          <w:spacing w:val="-3"/>
          <w:sz w:val="30"/>
          <w:szCs w:val="30"/>
        </w:rPr>
        <w:t>政府性基金预算收入支出决算情况说明</w:t>
      </w:r>
      <w:r>
        <w:rPr>
          <w:rFonts w:hint="eastAsia" w:ascii="宋体" w:hAnsi="宋体" w:cs="宋体"/>
          <w:sz w:val="30"/>
          <w:szCs w:val="30"/>
        </w:rPr>
        <w:t>。</w:t>
      </w:r>
      <w:r>
        <w:rPr>
          <w:rFonts w:hint="eastAsia" w:ascii="宋体" w:hAnsi="宋体" w:cs="宋体"/>
          <w:sz w:val="30"/>
          <w:szCs w:val="30"/>
        </w:rPr>
        <w:fldChar w:fldCharType="end"/>
      </w:r>
    </w:p>
    <w:p>
      <w:pPr>
        <w:pStyle w:val="10"/>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（九）</w:t>
      </w:r>
      <w:r>
        <w:fldChar w:fldCharType="begin"/>
      </w:r>
      <w:r>
        <w:instrText xml:space="preserve"> HYPERLINK \l "_Toc13584" </w:instrText>
      </w:r>
      <w:r>
        <w:fldChar w:fldCharType="separate"/>
      </w:r>
      <w:r>
        <w:rPr>
          <w:rFonts w:hint="eastAsia" w:ascii="宋体" w:hAnsi="宋体" w:cs="宋体"/>
          <w:spacing w:val="-3"/>
          <w:sz w:val="30"/>
          <w:szCs w:val="30"/>
        </w:rPr>
        <w:t>其他重要事项的情况说明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firstLine="300" w:firstLineChars="150"/>
        <w:rPr>
          <w:rFonts w:ascii="宋体" w:hAnsi="宋体" w:cs="宋体"/>
          <w:b/>
          <w:sz w:val="30"/>
          <w:szCs w:val="30"/>
        </w:rPr>
      </w:pPr>
      <w:r>
        <w:fldChar w:fldCharType="begin"/>
      </w:r>
      <w:r>
        <w:instrText xml:space="preserve"> HYPERLINK \l "_Toc13389" </w:instrText>
      </w:r>
      <w:r>
        <w:fldChar w:fldCharType="separate"/>
      </w:r>
      <w:r>
        <w:rPr>
          <w:rFonts w:hint="eastAsia" w:ascii="宋体" w:hAnsi="宋体" w:cs="宋体"/>
          <w:b/>
          <w:snapToGrid w:val="0"/>
          <w:spacing w:val="-4"/>
          <w:sz w:val="30"/>
          <w:szCs w:val="30"/>
        </w:rPr>
        <w:t>四、 名词解释</w:t>
      </w:r>
      <w:r>
        <w:rPr>
          <w:rFonts w:hint="eastAsia" w:ascii="宋体" w:hAnsi="宋体" w:cs="宋体"/>
          <w:b/>
          <w:snapToGrid w:val="0"/>
          <w:spacing w:val="-4"/>
          <w:sz w:val="30"/>
          <w:szCs w:val="30"/>
        </w:rPr>
        <w:fldChar w:fldCharType="end"/>
      </w:r>
    </w:p>
    <w:p>
      <w:pPr>
        <w:ind w:firstLine="3614" w:firstLineChars="1200"/>
        <w:rPr>
          <w:rFonts w:ascii="宋体" w:hAnsi="宋体" w:cs="宋体"/>
          <w:b/>
          <w:sz w:val="30"/>
          <w:szCs w:val="30"/>
        </w:rPr>
      </w:pPr>
      <w:r>
        <w:rPr>
          <w:rFonts w:hint="eastAsia" w:ascii="宋体" w:hAnsi="宋体" w:cs="宋体"/>
          <w:b/>
          <w:sz w:val="30"/>
          <w:szCs w:val="30"/>
        </w:rPr>
        <w:fldChar w:fldCharType="end"/>
      </w:r>
    </w:p>
    <w:p>
      <w:pPr>
        <w:ind w:firstLine="3614" w:firstLineChars="1200"/>
        <w:rPr>
          <w:rFonts w:ascii="宋体" w:hAnsi="宋体" w:cs="宋体"/>
          <w:b/>
          <w:sz w:val="30"/>
          <w:szCs w:val="30"/>
        </w:rPr>
      </w:pPr>
    </w:p>
    <w:p>
      <w:pPr>
        <w:rPr>
          <w:rFonts w:ascii="宋体" w:hAnsi="宋体" w:cs="宋体"/>
          <w:b/>
          <w:sz w:val="30"/>
          <w:szCs w:val="30"/>
        </w:rPr>
      </w:pPr>
    </w:p>
    <w:p>
      <w:pPr>
        <w:ind w:firstLine="3744" w:firstLineChars="1200"/>
        <w:rPr>
          <w:rFonts w:ascii="黑体" w:hAnsi="黑体" w:eastAsia="黑体" w:cs="黑体"/>
          <w:snapToGrid w:val="0"/>
          <w:color w:val="000000"/>
          <w:spacing w:val="-4"/>
          <w:kern w:val="0"/>
          <w:sz w:val="32"/>
          <w:szCs w:val="32"/>
        </w:rPr>
      </w:pPr>
      <w:r>
        <w:rPr>
          <w:rFonts w:hint="eastAsia" w:ascii="黑体" w:hAnsi="黑体" w:eastAsia="黑体" w:cs="黑体"/>
          <w:snapToGrid w:val="0"/>
          <w:color w:val="000000"/>
          <w:spacing w:val="-4"/>
          <w:kern w:val="0"/>
          <w:sz w:val="32"/>
          <w:szCs w:val="32"/>
        </w:rPr>
        <w:t>第一部分</w:t>
      </w:r>
      <w:r>
        <w:rPr>
          <w:rFonts w:ascii="黑体" w:hAnsi="黑体" w:eastAsia="黑体" w:cs="黑体"/>
          <w:snapToGrid w:val="0"/>
          <w:color w:val="000000"/>
          <w:spacing w:val="-4"/>
          <w:kern w:val="0"/>
          <w:sz w:val="32"/>
          <w:szCs w:val="32"/>
        </w:rPr>
        <w:t>概况</w:t>
      </w:r>
      <w:bookmarkEnd w:id="0"/>
      <w:bookmarkEnd w:id="1"/>
    </w:p>
    <w:p>
      <w:pPr>
        <w:numPr>
          <w:ilvl w:val="0"/>
          <w:numId w:val="1"/>
        </w:numPr>
        <w:rPr>
          <w:rFonts w:ascii="仿宋" w:hAnsi="仿宋" w:eastAsia="仿宋" w:cs="仿宋"/>
          <w:sz w:val="32"/>
          <w:szCs w:val="32"/>
        </w:rPr>
      </w:pPr>
      <w:bookmarkStart w:id="2" w:name="_Toc7430_WPSOffice_Level1"/>
      <w:r>
        <w:rPr>
          <w:rFonts w:hint="eastAsia" w:ascii="仿宋" w:hAnsi="仿宋" w:eastAsia="仿宋" w:cs="仿宋"/>
          <w:sz w:val="32"/>
          <w:szCs w:val="32"/>
        </w:rPr>
        <w:t>主要职能职责</w:t>
      </w:r>
    </w:p>
    <w:p>
      <w:pPr>
        <w:ind w:firstLine="960" w:firstLineChars="300"/>
        <w:rPr>
          <w:rFonts w:ascii="仿宋_GB2312" w:hAnsi="宋体" w:eastAsia="仿宋_GB2312" w:cs="宋体"/>
          <w:color w:val="000000"/>
          <w:kern w:val="0"/>
          <w:sz w:val="32"/>
          <w:szCs w:val="32"/>
        </w:rPr>
      </w:pPr>
      <w:r>
        <w:rPr>
          <w:rFonts w:hint="eastAsia" w:ascii="仿宋" w:hAnsi="仿宋" w:eastAsia="仿宋" w:cs="仿宋"/>
          <w:sz w:val="32"/>
          <w:szCs w:val="32"/>
        </w:rPr>
        <w:t>1、</w:t>
      </w:r>
      <w:r>
        <w:rPr>
          <w:rFonts w:hint="eastAsia" w:ascii="仿宋_GB2312" w:hAnsi="宋体" w:eastAsia="仿宋_GB2312" w:cs="宋体"/>
          <w:color w:val="000000"/>
          <w:kern w:val="0"/>
          <w:sz w:val="32"/>
          <w:szCs w:val="32"/>
        </w:rPr>
        <w:t>维护学校的教育教学秩序为学生创造良好的学习环境。</w:t>
      </w:r>
    </w:p>
    <w:p>
      <w:pPr>
        <w:ind w:firstLine="960" w:firstLineChars="300"/>
        <w:rPr>
          <w:rFonts w:ascii="仿宋_GB2312" w:hAnsi="宋体" w:eastAsia="仿宋_GB2312" w:cs="宋体"/>
          <w:color w:val="000000"/>
          <w:kern w:val="0"/>
          <w:sz w:val="32"/>
          <w:szCs w:val="32"/>
        </w:rPr>
      </w:pPr>
      <w:r>
        <w:rPr>
          <w:rFonts w:hint="eastAsia" w:ascii="仿宋" w:hAnsi="仿宋" w:eastAsia="仿宋" w:cs="仿宋"/>
          <w:sz w:val="32"/>
          <w:szCs w:val="32"/>
        </w:rPr>
        <w:t>2、</w:t>
      </w:r>
      <w:r>
        <w:rPr>
          <w:rFonts w:hint="eastAsia" w:ascii="仿宋_GB2312" w:hAnsi="宋体" w:eastAsia="仿宋_GB2312" w:cs="宋体"/>
          <w:color w:val="000000"/>
          <w:kern w:val="0"/>
          <w:sz w:val="32"/>
          <w:szCs w:val="32"/>
        </w:rPr>
        <w:t>坚持教书育人，按教学规律办事，不断提高教育教学质量。</w:t>
      </w:r>
    </w:p>
    <w:p>
      <w:pPr>
        <w:ind w:firstLine="960" w:firstLineChars="300"/>
        <w:rPr>
          <w:rFonts w:ascii="仿宋" w:hAnsi="仿宋" w:eastAsia="仿宋" w:cs="仿宋"/>
          <w:sz w:val="32"/>
          <w:szCs w:val="32"/>
        </w:rPr>
      </w:pPr>
      <w:r>
        <w:rPr>
          <w:rFonts w:hint="eastAsia" w:ascii="仿宋" w:hAnsi="仿宋" w:eastAsia="仿宋" w:cs="仿宋"/>
          <w:sz w:val="32"/>
          <w:szCs w:val="32"/>
        </w:rPr>
        <w:t>3、</w:t>
      </w:r>
      <w:r>
        <w:rPr>
          <w:rFonts w:hint="eastAsia" w:ascii="仿宋_GB2312" w:hAnsi="宋体" w:eastAsia="仿宋_GB2312" w:cs="宋体"/>
          <w:color w:val="000000"/>
          <w:kern w:val="0"/>
          <w:sz w:val="32"/>
          <w:szCs w:val="32"/>
        </w:rPr>
        <w:t>规范管理、彰显特色、全面发展。</w:t>
      </w:r>
      <w:r>
        <w:rPr>
          <w:rFonts w:hint="eastAsia" w:ascii="仿宋" w:hAnsi="仿宋" w:eastAsia="仿宋" w:cs="仿宋"/>
          <w:sz w:val="32"/>
          <w:szCs w:val="32"/>
        </w:rPr>
        <w:t xml:space="preserve">                        </w:t>
      </w:r>
    </w:p>
    <w:p>
      <w:pPr>
        <w:numPr>
          <w:ilvl w:val="0"/>
          <w:numId w:val="1"/>
        </w:numPr>
        <w:rPr>
          <w:rFonts w:ascii="仿宋" w:hAnsi="仿宋" w:eastAsia="仿宋" w:cs="仿宋"/>
          <w:sz w:val="32"/>
          <w:szCs w:val="32"/>
        </w:rPr>
      </w:pPr>
      <w:r>
        <w:rPr>
          <w:rFonts w:hint="eastAsia" w:ascii="仿宋" w:hAnsi="仿宋" w:eastAsia="仿宋" w:cs="仿宋"/>
          <w:sz w:val="32"/>
          <w:szCs w:val="32"/>
        </w:rPr>
        <w:t>部门机构设置</w:t>
      </w:r>
    </w:p>
    <w:p>
      <w:pPr>
        <w:pStyle w:val="11"/>
        <w:ind w:left="420" w:firstLine="640" w:firstLineChars="200"/>
        <w:rPr>
          <w:rFonts w:hint="eastAsia" w:ascii="仿宋_GB2312" w:hAnsi="Calibri" w:eastAsia="仿宋_GB2312" w:cs="Times New Roman"/>
          <w:sz w:val="32"/>
          <w:szCs w:val="32"/>
          <w:lang w:eastAsia="zh-CN"/>
        </w:rPr>
      </w:pPr>
      <w:r>
        <w:rPr>
          <w:rFonts w:hint="eastAsia" w:ascii="仿宋_GB2312" w:hAnsi="Calibri" w:eastAsia="仿宋_GB2312" w:cs="Times New Roman"/>
          <w:sz w:val="32"/>
          <w:szCs w:val="32"/>
        </w:rPr>
        <w:t>朔城区第二小学校属朔城区教育局下属单位，属二级预算单位，无下属单位</w:t>
      </w:r>
      <w:r>
        <w:rPr>
          <w:rFonts w:hint="eastAsia" w:ascii="仿宋_GB2312" w:hAnsi="Calibri" w:eastAsia="仿宋_GB2312" w:cs="Times New Roman"/>
          <w:sz w:val="32"/>
          <w:szCs w:val="32"/>
          <w:lang w:eastAsia="zh-CN"/>
        </w:rPr>
        <w:t>。</w:t>
      </w:r>
    </w:p>
    <w:p>
      <w:pPr>
        <w:pStyle w:val="11"/>
        <w:ind w:left="420" w:firstLine="640" w:firstLineChars="200"/>
      </w:pPr>
      <w:r>
        <w:rPr>
          <w:rFonts w:hint="eastAsia" w:ascii="仿宋_GB2312" w:hAnsi="Calibri" w:eastAsia="仿宋_GB2312" w:cs="Times New Roman"/>
          <w:sz w:val="32"/>
          <w:szCs w:val="32"/>
          <w:lang w:eastAsia="zh-CN"/>
        </w:rPr>
        <w:t>从预算单位构成看，本次决算公开包括：本级决算。</w:t>
      </w:r>
    </w:p>
    <w:p>
      <w:pPr>
        <w:pStyle w:val="2"/>
      </w:pPr>
    </w:p>
    <w:p>
      <w:pPr>
        <w:jc w:val="center"/>
        <w:rPr>
          <w:rFonts w:ascii="黑体" w:hAnsi="黑体" w:eastAsia="黑体" w:cs="黑体"/>
          <w:snapToGrid w:val="0"/>
          <w:color w:val="000000"/>
          <w:spacing w:val="-4"/>
          <w:kern w:val="0"/>
          <w:sz w:val="32"/>
          <w:szCs w:val="32"/>
        </w:rPr>
      </w:pPr>
      <w:r>
        <w:rPr>
          <w:rFonts w:hint="eastAsia" w:ascii="黑体" w:hAnsi="黑体" w:eastAsia="黑体" w:cs="黑体"/>
          <w:snapToGrid w:val="0"/>
          <w:color w:val="000000"/>
          <w:spacing w:val="-4"/>
          <w:kern w:val="0"/>
          <w:sz w:val="32"/>
          <w:szCs w:val="32"/>
        </w:rPr>
        <w:t>第二部分2021</w:t>
      </w:r>
      <w:r>
        <w:rPr>
          <w:rFonts w:ascii="黑体" w:hAnsi="黑体" w:eastAsia="黑体" w:cs="黑体"/>
          <w:snapToGrid w:val="0"/>
          <w:color w:val="000000"/>
          <w:spacing w:val="-4"/>
          <w:kern w:val="0"/>
          <w:sz w:val="32"/>
          <w:szCs w:val="32"/>
        </w:rPr>
        <w:t>年度部门决算表</w:t>
      </w:r>
      <w:bookmarkEnd w:id="2"/>
    </w:p>
    <w:p>
      <w:pPr>
        <w:rPr>
          <w:rFonts w:ascii="仿宋" w:hAnsi="仿宋" w:eastAsia="仿宋" w:cs="仿宋"/>
          <w:sz w:val="32"/>
          <w:szCs w:val="32"/>
        </w:rPr>
      </w:pPr>
      <w:r>
        <w:rPr>
          <w:rFonts w:hint="eastAsia" w:ascii="仿宋" w:hAnsi="仿宋" w:eastAsia="仿宋" w:cs="仿宋"/>
          <w:sz w:val="32"/>
          <w:szCs w:val="32"/>
        </w:rPr>
        <w:t>决算公开报表见附件：</w:t>
      </w:r>
    </w:p>
    <w:p>
      <w:pPr>
        <w:jc w:val="center"/>
        <w:rPr>
          <w:rFonts w:ascii="黑体" w:hAnsi="黑体" w:eastAsia="黑体" w:cs="黑体"/>
          <w:snapToGrid w:val="0"/>
          <w:color w:val="000000"/>
          <w:spacing w:val="-4"/>
          <w:kern w:val="0"/>
          <w:sz w:val="32"/>
          <w:szCs w:val="32"/>
        </w:rPr>
      </w:pPr>
      <w:bookmarkStart w:id="3" w:name="_Toc17336_WPSOffice_Level1"/>
      <w:bookmarkStart w:id="4" w:name="_Toc25884_WPSOffice_Level1"/>
      <w:r>
        <w:rPr>
          <w:rFonts w:ascii="黑体" w:hAnsi="黑体" w:eastAsia="黑体" w:cs="黑体"/>
          <w:snapToGrid w:val="0"/>
          <w:color w:val="000000"/>
          <w:spacing w:val="-4"/>
          <w:kern w:val="0"/>
          <w:sz w:val="32"/>
          <w:szCs w:val="32"/>
        </w:rPr>
        <w:t>第三部分</w:t>
      </w:r>
      <w:r>
        <w:rPr>
          <w:rFonts w:hint="eastAsia" w:ascii="黑体" w:hAnsi="黑体" w:eastAsia="黑体" w:cs="黑体"/>
          <w:snapToGrid w:val="0"/>
          <w:color w:val="000000"/>
          <w:spacing w:val="-4"/>
          <w:kern w:val="0"/>
          <w:sz w:val="32"/>
          <w:szCs w:val="32"/>
        </w:rPr>
        <w:t>2021</w:t>
      </w:r>
      <w:r>
        <w:rPr>
          <w:rFonts w:ascii="黑体" w:hAnsi="黑体" w:eastAsia="黑体" w:cs="黑体"/>
          <w:snapToGrid w:val="0"/>
          <w:color w:val="000000"/>
          <w:spacing w:val="-4"/>
          <w:kern w:val="0"/>
          <w:sz w:val="32"/>
          <w:szCs w:val="32"/>
        </w:rPr>
        <w:t>年度部门决算情况说明</w:t>
      </w:r>
      <w:bookmarkEnd w:id="3"/>
      <w:bookmarkEnd w:id="4"/>
    </w:p>
    <w:p>
      <w:pPr>
        <w:numPr>
          <w:ilvl w:val="0"/>
          <w:numId w:val="2"/>
        </w:numPr>
        <w:rPr>
          <w:rFonts w:ascii="仿宋" w:hAnsi="仿宋" w:eastAsia="仿宋" w:cs="仿宋"/>
          <w:sz w:val="32"/>
          <w:szCs w:val="32"/>
        </w:rPr>
      </w:pPr>
      <w:bookmarkStart w:id="5" w:name="_Toc22880_WPSOffice_Level2"/>
      <w:bookmarkStart w:id="6" w:name="_Toc1653_WPSOffice_Level2"/>
      <w:r>
        <w:rPr>
          <w:rFonts w:hint="eastAsia" w:ascii="楷体" w:hAnsi="楷体" w:eastAsia="楷体" w:cs="楷体"/>
          <w:spacing w:val="-3"/>
          <w:sz w:val="32"/>
          <w:szCs w:val="32"/>
        </w:rPr>
        <w:t>收入支出决算总体情况说明</w:t>
      </w:r>
      <w:bookmarkEnd w:id="5"/>
      <w:bookmarkEnd w:id="6"/>
    </w:p>
    <w:p>
      <w:pPr>
        <w:autoSpaceDN w:val="0"/>
        <w:spacing w:line="570" w:lineRule="exact"/>
        <w:ind w:firstLine="320" w:firstLineChars="100"/>
        <w:textAlignment w:val="center"/>
        <w:rPr>
          <w:rFonts w:ascii="仿宋" w:hAnsi="仿宋" w:eastAsia="仿宋" w:cs="仿宋"/>
          <w:sz w:val="30"/>
          <w:szCs w:val="30"/>
        </w:rPr>
      </w:pPr>
      <w:bookmarkStart w:id="7" w:name="_Toc14383_WPSOffice_Level2"/>
      <w:r>
        <w:rPr>
          <w:rFonts w:hint="eastAsia" w:ascii="宋体" w:hAnsi="宋体" w:eastAsia="仿宋_GB2312" w:cs="Times New Roman"/>
          <w:sz w:val="32"/>
          <w:szCs w:val="32"/>
        </w:rPr>
        <w:t>2021 年度收入总计1379.89万元、支出总计1379.89万元。与 2020年相比,收入总计减少105.43万元，支出总计减少</w:t>
      </w:r>
      <w:r>
        <w:rPr>
          <w:rFonts w:ascii="仿宋" w:hAnsi="仿宋" w:eastAsia="仿宋" w:cs="仿宋"/>
          <w:spacing w:val="-34"/>
          <w:sz w:val="32"/>
          <w:szCs w:val="32"/>
        </w:rPr>
        <w:t xml:space="preserve"> </w:t>
      </w:r>
      <w:r>
        <w:rPr>
          <w:rFonts w:hint="eastAsia" w:ascii="仿宋" w:hAnsi="仿宋" w:eastAsia="仿宋" w:cs="仿宋"/>
          <w:spacing w:val="2"/>
          <w:sz w:val="32"/>
          <w:szCs w:val="32"/>
        </w:rPr>
        <w:t>105.43</w:t>
      </w:r>
      <w:r>
        <w:rPr>
          <w:rFonts w:hint="eastAsia" w:ascii="宋体" w:hAnsi="宋体" w:eastAsia="仿宋_GB2312" w:cs="Times New Roman"/>
          <w:sz w:val="32"/>
          <w:szCs w:val="32"/>
        </w:rPr>
        <w:t>万元。主要原因是：</w:t>
      </w:r>
      <w:r>
        <w:rPr>
          <w:rFonts w:hint="eastAsia" w:ascii="仿宋" w:hAnsi="仿宋" w:eastAsia="仿宋" w:cs="仿宋"/>
          <w:sz w:val="30"/>
          <w:szCs w:val="30"/>
        </w:rPr>
        <w:t>原因是</w:t>
      </w:r>
      <w:r>
        <w:rPr>
          <w:rFonts w:hint="eastAsia" w:ascii="仿宋" w:hAnsi="仿宋" w:eastAsia="仿宋" w:cs="仿宋"/>
          <w:sz w:val="30"/>
          <w:szCs w:val="30"/>
          <w:lang w:val="en-US" w:eastAsia="zh-CN"/>
        </w:rPr>
        <w:t>2021年减少办公设备购置和信息网络及软件购置更新</w:t>
      </w:r>
      <w:r>
        <w:rPr>
          <w:rFonts w:hint="eastAsia" w:ascii="仿宋" w:hAnsi="仿宋" w:eastAsia="仿宋" w:cs="仿宋"/>
          <w:sz w:val="30"/>
          <w:szCs w:val="30"/>
        </w:rPr>
        <w:t>，又在职转退休四人，调出一人。</w:t>
      </w:r>
    </w:p>
    <w:p>
      <w:pPr>
        <w:spacing w:line="204" w:lineRule="auto"/>
        <w:ind w:firstLine="667"/>
        <w:jc w:val="left"/>
        <w:rPr>
          <w:rFonts w:ascii="宋体" w:hAnsi="宋体" w:eastAsia="仿宋_GB2312" w:cs="Times New Roman"/>
          <w:sz w:val="32"/>
          <w:szCs w:val="32"/>
        </w:rPr>
      </w:pPr>
    </w:p>
    <w:p>
      <w:pPr>
        <w:spacing w:line="204" w:lineRule="auto"/>
        <w:jc w:val="left"/>
        <w:rPr>
          <w:rFonts w:ascii="楷体" w:hAnsi="楷体" w:eastAsia="楷体" w:cs="楷体"/>
          <w:spacing w:val="-2"/>
          <w:sz w:val="32"/>
          <w:szCs w:val="32"/>
        </w:rPr>
      </w:pPr>
      <w:r>
        <w:rPr>
          <w:rFonts w:hint="eastAsia" w:ascii="楷体" w:hAnsi="楷体" w:eastAsia="楷体" w:cs="楷体"/>
          <w:spacing w:val="-3"/>
          <w:sz w:val="32"/>
          <w:szCs w:val="32"/>
        </w:rPr>
        <w:t>二、</w:t>
      </w:r>
      <w:r>
        <w:rPr>
          <w:rFonts w:ascii="楷体" w:hAnsi="楷体" w:eastAsia="楷体" w:cs="楷体"/>
          <w:spacing w:val="-3"/>
          <w:sz w:val="32"/>
          <w:szCs w:val="32"/>
        </w:rPr>
        <w:t>收入决算情况说明</w:t>
      </w:r>
      <w:bookmarkEnd w:id="7"/>
    </w:p>
    <w:p>
      <w:pPr>
        <w:spacing w:line="204" w:lineRule="auto"/>
        <w:ind w:firstLine="667"/>
        <w:jc w:val="left"/>
        <w:rPr>
          <w:rFonts w:ascii="仿宋" w:hAnsi="仿宋" w:eastAsia="仿宋" w:cs="仿宋"/>
          <w:spacing w:val="-4"/>
          <w:sz w:val="32"/>
          <w:szCs w:val="32"/>
        </w:rPr>
      </w:pPr>
      <w:bookmarkStart w:id="8" w:name="_Toc6621_WPSOffice_Level2"/>
      <w:bookmarkStart w:id="9" w:name="_Toc504_WPSOffice_Level2"/>
      <w:r>
        <w:rPr>
          <w:rFonts w:hint="eastAsia" w:ascii="宋体" w:hAnsi="宋体" w:eastAsia="仿宋_GB2312" w:cs="Times New Roman"/>
          <w:sz w:val="32"/>
          <w:szCs w:val="32"/>
        </w:rPr>
        <w:t>本年收入合计</w:t>
      </w:r>
      <w:r>
        <w:rPr>
          <w:rFonts w:hint="eastAsia" w:ascii="仿宋" w:hAnsi="仿宋" w:eastAsia="仿宋" w:cs="仿宋"/>
          <w:sz w:val="32"/>
          <w:szCs w:val="32"/>
        </w:rPr>
        <w:t>1379.89</w:t>
      </w:r>
      <w:r>
        <w:rPr>
          <w:rFonts w:hint="eastAsia" w:ascii="宋体" w:hAnsi="宋体" w:eastAsia="仿宋_GB2312" w:cs="Times New Roman"/>
          <w:sz w:val="32"/>
          <w:szCs w:val="32"/>
        </w:rPr>
        <w:t>万元，其中：财政拨款收入</w:t>
      </w:r>
      <w:r>
        <w:rPr>
          <w:rFonts w:hint="eastAsia" w:ascii="仿宋" w:hAnsi="仿宋" w:eastAsia="仿宋" w:cs="仿宋"/>
          <w:sz w:val="32"/>
          <w:szCs w:val="32"/>
        </w:rPr>
        <w:t>1379.89</w:t>
      </w:r>
      <w:r>
        <w:rPr>
          <w:rFonts w:hint="eastAsia" w:ascii="宋体" w:hAnsi="宋体" w:eastAsia="仿宋_GB2312" w:cs="Times New Roman"/>
          <w:sz w:val="32"/>
          <w:szCs w:val="32"/>
        </w:rPr>
        <w:t>万元;上级补助收入0万元；事业收入 0万元；经营收入0万元；附属单位上缴收入 0万元；其他收入0万元。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三、支出决算情况说明</w:t>
      </w:r>
      <w:bookmarkEnd w:id="8"/>
      <w:bookmarkEnd w:id="9"/>
    </w:p>
    <w:p>
      <w:pPr>
        <w:ind w:firstLine="640" w:firstLineChars="200"/>
        <w:rPr>
          <w:rFonts w:ascii="仿宋" w:hAnsi="仿宋" w:eastAsia="仿宋" w:cs="仿宋"/>
          <w:sz w:val="32"/>
          <w:szCs w:val="32"/>
        </w:rPr>
      </w:pPr>
      <w:bookmarkStart w:id="10" w:name="_Toc32119_WPSOffice_Level2"/>
      <w:bookmarkStart w:id="11" w:name="_Toc8754_WPSOffice_Level2"/>
      <w:r>
        <w:rPr>
          <w:rFonts w:hint="eastAsia" w:ascii="宋体" w:hAnsi="宋体" w:eastAsia="仿宋_GB2312" w:cs="Times New Roman"/>
          <w:sz w:val="32"/>
          <w:szCs w:val="32"/>
        </w:rPr>
        <w:t>本年支出合计</w:t>
      </w:r>
      <w:r>
        <w:rPr>
          <w:rFonts w:hint="eastAsia" w:ascii="仿宋" w:hAnsi="仿宋" w:eastAsia="仿宋" w:cs="仿宋"/>
          <w:sz w:val="32"/>
          <w:szCs w:val="32"/>
        </w:rPr>
        <w:t>1379.89</w:t>
      </w:r>
      <w:r>
        <w:rPr>
          <w:rFonts w:hint="eastAsia" w:ascii="宋体" w:hAnsi="宋体" w:eastAsia="仿宋_GB2312" w:cs="Times New Roman"/>
          <w:sz w:val="32"/>
          <w:szCs w:val="32"/>
        </w:rPr>
        <w:t>万元 ，其中：基本支出</w:t>
      </w:r>
      <w:r>
        <w:rPr>
          <w:rFonts w:hint="eastAsia" w:ascii="仿宋" w:hAnsi="仿宋" w:eastAsia="仿宋" w:cs="仿宋"/>
          <w:sz w:val="32"/>
          <w:szCs w:val="32"/>
        </w:rPr>
        <w:t>1275.54</w:t>
      </w:r>
      <w:r>
        <w:rPr>
          <w:rFonts w:hint="eastAsia" w:ascii="宋体" w:hAnsi="宋体" w:eastAsia="仿宋_GB2312" w:cs="Times New Roman"/>
          <w:sz w:val="32"/>
          <w:szCs w:val="32"/>
        </w:rPr>
        <w:t>万元 ；项目支出</w:t>
      </w:r>
      <w:r>
        <w:rPr>
          <w:rFonts w:hint="eastAsia" w:ascii="仿宋" w:hAnsi="仿宋" w:eastAsia="仿宋" w:cs="仿宋"/>
          <w:sz w:val="32"/>
          <w:szCs w:val="32"/>
        </w:rPr>
        <w:t>104.35</w:t>
      </w:r>
      <w:r>
        <w:rPr>
          <w:rFonts w:hint="eastAsia" w:ascii="宋体" w:hAnsi="宋体" w:eastAsia="仿宋_GB2312" w:cs="Times New Roman"/>
          <w:sz w:val="32"/>
          <w:szCs w:val="32"/>
        </w:rPr>
        <w:t>万元；上缴上级支出0万元，经营支出0万元；对附属单位补助支出0万元。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四、财政拨款收入支出决算总体情况说明</w:t>
      </w:r>
      <w:bookmarkEnd w:id="10"/>
      <w:bookmarkEnd w:id="11"/>
    </w:p>
    <w:p>
      <w:pPr>
        <w:autoSpaceDN w:val="0"/>
        <w:spacing w:line="570" w:lineRule="exact"/>
        <w:ind w:firstLine="320" w:firstLineChars="100"/>
        <w:textAlignment w:val="center"/>
        <w:rPr>
          <w:rFonts w:ascii="仿宋" w:hAnsi="仿宋" w:eastAsia="仿宋" w:cs="仿宋"/>
          <w:sz w:val="30"/>
          <w:szCs w:val="30"/>
          <w:highlight w:val="red"/>
        </w:rPr>
      </w:pPr>
      <w:bookmarkStart w:id="12" w:name="_Toc2892_WPSOffice_Level2"/>
      <w:bookmarkStart w:id="13" w:name="_Toc23250_WPSOffice_Level2"/>
      <w:r>
        <w:rPr>
          <w:rFonts w:hint="eastAsia" w:ascii="宋体" w:hAnsi="宋体" w:eastAsia="仿宋_GB2312" w:cs="Times New Roman"/>
          <w:sz w:val="32"/>
          <w:szCs w:val="32"/>
        </w:rPr>
        <w:t>2021 年度财政拨款收入总计</w:t>
      </w:r>
      <w:r>
        <w:rPr>
          <w:rFonts w:hint="eastAsia" w:ascii="仿宋" w:hAnsi="仿宋" w:eastAsia="仿宋" w:cs="仿宋"/>
          <w:sz w:val="32"/>
          <w:szCs w:val="32"/>
        </w:rPr>
        <w:t>1379.89</w:t>
      </w:r>
      <w:r>
        <w:rPr>
          <w:rFonts w:hint="eastAsia" w:ascii="宋体" w:hAnsi="宋体" w:eastAsia="仿宋_GB2312" w:cs="Times New Roman"/>
          <w:sz w:val="32"/>
          <w:szCs w:val="32"/>
        </w:rPr>
        <w:t>万元、支出总计1379.89万元。与 2020 年相比，财政拨款收入总计减少</w:t>
      </w:r>
      <w:r>
        <w:rPr>
          <w:rFonts w:ascii="仿宋" w:hAnsi="仿宋" w:eastAsia="仿宋" w:cs="仿宋"/>
          <w:spacing w:val="-34"/>
          <w:sz w:val="32"/>
          <w:szCs w:val="32"/>
        </w:rPr>
        <w:t xml:space="preserve"> </w:t>
      </w:r>
      <w:r>
        <w:rPr>
          <w:rFonts w:hint="eastAsia" w:ascii="仿宋" w:hAnsi="仿宋" w:eastAsia="仿宋" w:cs="仿宋"/>
          <w:spacing w:val="2"/>
          <w:sz w:val="32"/>
          <w:szCs w:val="32"/>
        </w:rPr>
        <w:t>105.43</w:t>
      </w:r>
      <w:r>
        <w:rPr>
          <w:rFonts w:hint="eastAsia" w:ascii="宋体" w:hAnsi="宋体" w:eastAsia="仿宋_GB2312" w:cs="Times New Roman"/>
          <w:sz w:val="32"/>
          <w:szCs w:val="32"/>
        </w:rPr>
        <w:t>万元，降低7.</w:t>
      </w:r>
      <w:r>
        <w:rPr>
          <w:rFonts w:hint="eastAsia" w:ascii="宋体" w:hAnsi="宋体" w:eastAsia="仿宋_GB2312" w:cs="Times New Roman"/>
          <w:sz w:val="32"/>
          <w:szCs w:val="32"/>
          <w:lang w:val="en-US" w:eastAsia="zh-CN"/>
        </w:rPr>
        <w:t>10</w:t>
      </w:r>
      <w:r>
        <w:rPr>
          <w:rFonts w:hint="eastAsia" w:ascii="宋体" w:hAnsi="宋体" w:eastAsia="仿宋_GB2312" w:cs="Times New Roman"/>
          <w:sz w:val="32"/>
          <w:szCs w:val="32"/>
        </w:rPr>
        <w:t>%。主要原因是：</w:t>
      </w:r>
      <w:r>
        <w:rPr>
          <w:rFonts w:hint="eastAsia" w:ascii="仿宋" w:hAnsi="仿宋" w:eastAsia="仿宋" w:cs="仿宋"/>
          <w:sz w:val="30"/>
          <w:szCs w:val="30"/>
        </w:rPr>
        <w:t>原因是</w:t>
      </w:r>
      <w:r>
        <w:rPr>
          <w:rFonts w:hint="eastAsia" w:ascii="仿宋" w:hAnsi="仿宋" w:eastAsia="仿宋" w:cs="仿宋"/>
          <w:sz w:val="30"/>
          <w:szCs w:val="30"/>
          <w:lang w:val="en-US" w:eastAsia="zh-CN"/>
        </w:rPr>
        <w:t>2021年减少办公设备购置和信息网络及软件购置更新</w:t>
      </w:r>
      <w:r>
        <w:rPr>
          <w:rFonts w:hint="eastAsia" w:ascii="仿宋" w:hAnsi="仿宋" w:eastAsia="仿宋" w:cs="仿宋"/>
          <w:sz w:val="30"/>
          <w:szCs w:val="30"/>
        </w:rPr>
        <w:t>，又在职转退休四人，调出一人。</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五、一般公共预算财政拨款支出决算情况说明</w:t>
      </w:r>
      <w:bookmarkEnd w:id="12"/>
      <w:bookmarkEnd w:id="13"/>
    </w:p>
    <w:p>
      <w:pPr>
        <w:rPr>
          <w:rFonts w:ascii="宋体" w:hAnsi="宋体" w:eastAsia="仿宋_GB2312" w:cs="Times New Roman"/>
          <w:sz w:val="32"/>
          <w:szCs w:val="32"/>
        </w:rPr>
      </w:pPr>
      <w:r>
        <w:rPr>
          <w:rFonts w:hint="eastAsia" w:ascii="宋体" w:hAnsi="宋体" w:eastAsia="仿宋_GB2312" w:cs="Times New Roman"/>
          <w:sz w:val="32"/>
          <w:szCs w:val="32"/>
        </w:rPr>
        <w:t>1.财政拨款支出决算总体情况</w:t>
      </w:r>
    </w:p>
    <w:p>
      <w:pPr>
        <w:autoSpaceDN w:val="0"/>
        <w:spacing w:line="570" w:lineRule="exact"/>
        <w:ind w:firstLine="320" w:firstLineChars="100"/>
        <w:textAlignment w:val="center"/>
        <w:rPr>
          <w:rFonts w:ascii="仿宋" w:hAnsi="仿宋" w:eastAsia="仿宋" w:cs="仿宋"/>
          <w:sz w:val="30"/>
          <w:szCs w:val="30"/>
        </w:rPr>
      </w:pPr>
      <w:r>
        <w:rPr>
          <w:rFonts w:hint="eastAsia" w:ascii="宋体" w:hAnsi="宋体" w:eastAsia="仿宋_GB2312" w:cs="Times New Roman"/>
          <w:sz w:val="32"/>
          <w:szCs w:val="32"/>
        </w:rPr>
        <w:t>2021 年度财政拨款支出</w:t>
      </w:r>
      <w:r>
        <w:rPr>
          <w:rFonts w:hint="eastAsia" w:ascii="仿宋" w:hAnsi="仿宋" w:eastAsia="仿宋" w:cs="仿宋"/>
          <w:sz w:val="32"/>
          <w:szCs w:val="32"/>
        </w:rPr>
        <w:t>1379.89</w:t>
      </w:r>
      <w:r>
        <w:rPr>
          <w:rFonts w:hint="eastAsia" w:ascii="宋体" w:hAnsi="宋体" w:eastAsia="仿宋_GB2312" w:cs="Times New Roman"/>
          <w:sz w:val="32"/>
          <w:szCs w:val="32"/>
        </w:rPr>
        <w:t>万元，与 2020 年相比，财政拨款支出减少</w:t>
      </w:r>
      <w:r>
        <w:rPr>
          <w:rFonts w:ascii="仿宋" w:hAnsi="仿宋" w:eastAsia="仿宋" w:cs="仿宋"/>
          <w:spacing w:val="-34"/>
          <w:sz w:val="32"/>
          <w:szCs w:val="32"/>
        </w:rPr>
        <w:t xml:space="preserve"> </w:t>
      </w:r>
      <w:r>
        <w:rPr>
          <w:rFonts w:hint="eastAsia" w:ascii="仿宋" w:hAnsi="仿宋" w:eastAsia="仿宋" w:cs="仿宋"/>
          <w:spacing w:val="2"/>
          <w:sz w:val="32"/>
          <w:szCs w:val="32"/>
        </w:rPr>
        <w:t>105.43</w:t>
      </w:r>
      <w:r>
        <w:rPr>
          <w:rFonts w:hint="eastAsia" w:ascii="宋体" w:hAnsi="宋体" w:eastAsia="仿宋_GB2312" w:cs="Times New Roman"/>
          <w:sz w:val="32"/>
          <w:szCs w:val="32"/>
        </w:rPr>
        <w:t>万元。主要原因是：</w:t>
      </w:r>
      <w:r>
        <w:rPr>
          <w:rFonts w:hint="eastAsia" w:ascii="仿宋" w:hAnsi="仿宋" w:eastAsia="仿宋" w:cs="仿宋"/>
          <w:sz w:val="30"/>
          <w:szCs w:val="30"/>
        </w:rPr>
        <w:t>原因是</w:t>
      </w:r>
      <w:r>
        <w:rPr>
          <w:rFonts w:hint="eastAsia" w:ascii="仿宋" w:hAnsi="仿宋" w:eastAsia="仿宋" w:cs="仿宋"/>
          <w:sz w:val="30"/>
          <w:szCs w:val="30"/>
          <w:lang w:val="en-US" w:eastAsia="zh-CN"/>
        </w:rPr>
        <w:t>2021年减少办公设备购置和信息网络及软件购置更新</w:t>
      </w:r>
      <w:r>
        <w:rPr>
          <w:rFonts w:hint="eastAsia" w:ascii="仿宋" w:hAnsi="仿宋" w:eastAsia="仿宋" w:cs="仿宋"/>
          <w:sz w:val="30"/>
          <w:szCs w:val="30"/>
        </w:rPr>
        <w:t>，又在职转退休四人，调出一人。</w:t>
      </w:r>
      <w:bookmarkStart w:id="22" w:name="_GoBack"/>
      <w:bookmarkEnd w:id="22"/>
    </w:p>
    <w:p>
      <w:pPr>
        <w:rPr>
          <w:rFonts w:ascii="宋体" w:hAnsi="宋体" w:eastAsia="仿宋_GB2312" w:cs="Times New Roman"/>
          <w:sz w:val="32"/>
          <w:szCs w:val="32"/>
        </w:rPr>
      </w:pPr>
      <w:r>
        <w:rPr>
          <w:rFonts w:hint="eastAsia" w:ascii="宋体" w:hAnsi="宋体" w:eastAsia="仿宋_GB2312" w:cs="Times New Roman"/>
          <w:sz w:val="32"/>
          <w:szCs w:val="32"/>
        </w:rPr>
        <w:t>2.财政拨款支出决算结构情况</w:t>
      </w:r>
    </w:p>
    <w:p>
      <w:pPr>
        <w:spacing w:line="360" w:lineRule="auto"/>
        <w:ind w:firstLine="640" w:firstLineChars="200"/>
        <w:rPr>
          <w:rFonts w:ascii="仿宋" w:hAnsi="仿宋" w:eastAsia="仿宋" w:cs="仿宋"/>
          <w:sz w:val="32"/>
          <w:szCs w:val="32"/>
        </w:rPr>
      </w:pPr>
      <w:bookmarkStart w:id="14" w:name="_Toc27424_WPSOffice_Level2"/>
      <w:bookmarkStart w:id="15" w:name="_Toc1066_WPSOffice_Level2"/>
      <w:r>
        <w:rPr>
          <w:rFonts w:hint="eastAsia" w:ascii="宋体" w:hAnsi="宋体" w:eastAsia="仿宋_GB2312" w:cs="Times New Roman"/>
          <w:sz w:val="32"/>
          <w:szCs w:val="32"/>
        </w:rPr>
        <w:t>2021 年度财政拨款支出</w:t>
      </w:r>
      <w:r>
        <w:rPr>
          <w:rFonts w:hint="eastAsia" w:ascii="仿宋" w:hAnsi="仿宋" w:eastAsia="仿宋" w:cs="仿宋"/>
          <w:sz w:val="32"/>
          <w:szCs w:val="32"/>
        </w:rPr>
        <w:t>1379.89</w:t>
      </w:r>
      <w:r>
        <w:rPr>
          <w:rFonts w:hint="eastAsia" w:ascii="宋体" w:hAnsi="宋体" w:eastAsia="仿宋_GB2312" w:cs="Times New Roman"/>
          <w:sz w:val="32"/>
          <w:szCs w:val="32"/>
        </w:rPr>
        <w:t>万元，主要用于以下方面：205</w:t>
      </w:r>
      <w:r>
        <w:rPr>
          <w:rFonts w:hint="eastAsia" w:ascii="宋体" w:hAnsi="宋体" w:eastAsia="仿宋_GB2312" w:cs="Times New Roman"/>
          <w:sz w:val="32"/>
          <w:szCs w:val="32"/>
          <w:lang w:val="en-US" w:eastAsia="zh-CN"/>
        </w:rPr>
        <w:t>0202</w:t>
      </w:r>
      <w:r>
        <w:rPr>
          <w:rFonts w:hint="eastAsia" w:ascii="宋体" w:hAnsi="宋体" w:eastAsia="仿宋_GB2312" w:cs="Times New Roman"/>
          <w:sz w:val="32"/>
          <w:szCs w:val="32"/>
          <w:lang w:eastAsia="zh-CN"/>
        </w:rPr>
        <w:t>小学教育</w:t>
      </w:r>
      <w:r>
        <w:rPr>
          <w:rFonts w:hint="eastAsia" w:ascii="宋体" w:hAnsi="宋体" w:eastAsia="仿宋_GB2312" w:cs="Times New Roman"/>
          <w:sz w:val="32"/>
          <w:szCs w:val="32"/>
        </w:rPr>
        <w:t>1346.06万元，占97.55%；</w:t>
      </w:r>
      <w:r>
        <w:rPr>
          <w:rFonts w:hint="eastAsia" w:ascii="宋体" w:hAnsi="宋体" w:eastAsia="仿宋_GB2312" w:cs="Times New Roman"/>
          <w:sz w:val="32"/>
          <w:szCs w:val="32"/>
          <w:lang w:val="en-US" w:eastAsia="zh-CN"/>
        </w:rPr>
        <w:t>2050299</w:t>
      </w:r>
      <w:r>
        <w:rPr>
          <w:rFonts w:hint="eastAsia" w:ascii="宋体" w:hAnsi="宋体" w:eastAsia="仿宋_GB2312" w:cs="Times New Roman"/>
          <w:sz w:val="32"/>
          <w:szCs w:val="32"/>
        </w:rPr>
        <w:t>其他</w:t>
      </w:r>
      <w:r>
        <w:rPr>
          <w:rFonts w:hint="eastAsia" w:ascii="宋体" w:hAnsi="宋体" w:eastAsia="仿宋_GB2312" w:cs="Times New Roman"/>
          <w:sz w:val="32"/>
          <w:szCs w:val="32"/>
          <w:lang w:val="en-US" w:eastAsia="zh-CN"/>
        </w:rPr>
        <w:t>普通</w:t>
      </w:r>
      <w:r>
        <w:rPr>
          <w:rFonts w:hint="eastAsia" w:ascii="宋体" w:hAnsi="宋体" w:eastAsia="仿宋_GB2312" w:cs="Times New Roman"/>
          <w:sz w:val="32"/>
          <w:szCs w:val="32"/>
        </w:rPr>
        <w:t>教育支出14.70万元，占1.06%；</w:t>
      </w:r>
      <w:r>
        <w:rPr>
          <w:rFonts w:hint="eastAsia" w:ascii="宋体" w:hAnsi="宋体" w:eastAsia="仿宋_GB2312" w:cs="Times New Roman"/>
          <w:sz w:val="32"/>
          <w:szCs w:val="32"/>
          <w:lang w:val="en-US" w:eastAsia="zh-CN"/>
        </w:rPr>
        <w:t>2069999</w:t>
      </w:r>
      <w:r>
        <w:rPr>
          <w:rFonts w:hint="eastAsia" w:ascii="宋体" w:hAnsi="宋体" w:eastAsia="仿宋_GB2312" w:cs="Times New Roman"/>
          <w:sz w:val="32"/>
          <w:szCs w:val="32"/>
        </w:rPr>
        <w:t>科学技术科目支出1.8万元，占0.13%；</w:t>
      </w:r>
      <w:r>
        <w:rPr>
          <w:rFonts w:hint="eastAsia" w:ascii="宋体" w:hAnsi="宋体" w:eastAsia="仿宋_GB2312" w:cs="Times New Roman"/>
          <w:sz w:val="32"/>
          <w:szCs w:val="32"/>
          <w:lang w:val="en-US" w:eastAsia="zh-CN"/>
        </w:rPr>
        <w:t>2080801</w:t>
      </w:r>
      <w:r>
        <w:rPr>
          <w:rFonts w:hint="eastAsia" w:ascii="宋体" w:hAnsi="宋体" w:eastAsia="仿宋_GB2312" w:cs="Times New Roman"/>
          <w:sz w:val="32"/>
          <w:szCs w:val="32"/>
        </w:rPr>
        <w:t>社会保障和就业科目支出17.33万元，占1.26%</w:t>
      </w:r>
      <w:r>
        <w:rPr>
          <w:rFonts w:hint="eastAsia" w:ascii="仿宋" w:hAnsi="仿宋" w:eastAsia="仿宋" w:cs="仿宋"/>
          <w:spacing w:val="4"/>
          <w:sz w:val="32"/>
          <w:szCs w:val="32"/>
        </w:rPr>
        <w:t>。</w:t>
      </w:r>
    </w:p>
    <w:p>
      <w:pPr>
        <w:rPr>
          <w:rFonts w:ascii="宋体" w:hAnsi="宋体" w:eastAsia="仿宋_GB2312" w:cs="Times New Roman"/>
          <w:sz w:val="32"/>
          <w:szCs w:val="32"/>
        </w:rPr>
      </w:pPr>
      <w:r>
        <w:rPr>
          <w:rFonts w:hint="eastAsia" w:ascii="宋体" w:hAnsi="宋体" w:eastAsia="仿宋_GB2312" w:cs="Times New Roman"/>
          <w:sz w:val="32"/>
          <w:szCs w:val="32"/>
        </w:rPr>
        <w:t>3.一般公共预算财政拨款支出决算具体情况。</w:t>
      </w:r>
    </w:p>
    <w:p>
      <w:pPr>
        <w:ind w:firstLine="640" w:firstLineChars="200"/>
        <w:rPr>
          <w:rFonts w:ascii="仿宋" w:hAnsi="仿宋" w:eastAsia="仿宋" w:cs="仿宋"/>
          <w:spacing w:val="4"/>
          <w:sz w:val="32"/>
          <w:szCs w:val="32"/>
        </w:rPr>
      </w:pPr>
      <w:r>
        <w:rPr>
          <w:rFonts w:hint="eastAsia" w:ascii="宋体" w:hAnsi="宋体" w:eastAsia="仿宋_GB2312" w:cs="Times New Roman"/>
          <w:sz w:val="32"/>
          <w:szCs w:val="32"/>
        </w:rPr>
        <w:t>2021年度一般公共预算财政拨款支出当年调整预算数1379.89万元，支出决算为</w:t>
      </w:r>
      <w:r>
        <w:rPr>
          <w:rFonts w:hint="eastAsia" w:ascii="仿宋" w:hAnsi="仿宋" w:eastAsia="仿宋" w:cs="仿宋"/>
          <w:sz w:val="32"/>
          <w:szCs w:val="32"/>
        </w:rPr>
        <w:t>1379.89</w:t>
      </w:r>
      <w:r>
        <w:rPr>
          <w:rFonts w:hint="eastAsia" w:ascii="宋体" w:hAnsi="宋体" w:eastAsia="仿宋_GB2312" w:cs="Times New Roman"/>
          <w:sz w:val="32"/>
          <w:szCs w:val="32"/>
        </w:rPr>
        <w:t>万元，完成当年调整预算的100%。</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六、一般公共预算财政拨款基本支出决算情况说明</w:t>
      </w:r>
      <w:bookmarkEnd w:id="14"/>
      <w:bookmarkEnd w:id="15"/>
    </w:p>
    <w:p>
      <w:pPr>
        <w:ind w:firstLine="640" w:firstLineChars="200"/>
        <w:rPr>
          <w:rFonts w:ascii="宋体" w:hAnsi="宋体" w:eastAsia="仿宋_GB2312" w:cs="Times New Roman"/>
          <w:sz w:val="32"/>
          <w:szCs w:val="32"/>
        </w:rPr>
      </w:pPr>
      <w:bookmarkStart w:id="16" w:name="_Toc28951_WPSOffice_Level2"/>
      <w:bookmarkStart w:id="17" w:name="_Toc21993_WPSOffice_Level2"/>
      <w:r>
        <w:rPr>
          <w:rFonts w:hint="eastAsia" w:ascii="宋体" w:hAnsi="宋体" w:eastAsia="仿宋_GB2312" w:cs="Times New Roman"/>
          <w:sz w:val="32"/>
          <w:szCs w:val="32"/>
        </w:rPr>
        <w:t>2021 年度财政拨款基本支出</w:t>
      </w:r>
      <w:r>
        <w:rPr>
          <w:rFonts w:hint="eastAsia" w:ascii="仿宋" w:hAnsi="仿宋" w:eastAsia="仿宋" w:cs="仿宋"/>
          <w:spacing w:val="4"/>
          <w:sz w:val="32"/>
          <w:szCs w:val="32"/>
        </w:rPr>
        <w:t>1275.54</w:t>
      </w:r>
      <w:r>
        <w:rPr>
          <w:rFonts w:hint="eastAsia" w:ascii="宋体" w:hAnsi="宋体" w:eastAsia="仿宋_GB2312" w:cs="Times New Roman"/>
          <w:sz w:val="32"/>
          <w:szCs w:val="32"/>
        </w:rPr>
        <w:t>万元，其中：人员经费</w:t>
      </w:r>
      <w:r>
        <w:rPr>
          <w:rFonts w:hint="eastAsia" w:ascii="仿宋" w:hAnsi="仿宋" w:eastAsia="仿宋" w:cs="仿宋"/>
          <w:spacing w:val="4"/>
          <w:sz w:val="32"/>
          <w:szCs w:val="32"/>
        </w:rPr>
        <w:t>1133.36</w:t>
      </w:r>
      <w:r>
        <w:rPr>
          <w:rFonts w:hint="eastAsia" w:ascii="宋体" w:hAnsi="宋体" w:eastAsia="仿宋_GB2312" w:cs="Times New Roman"/>
          <w:sz w:val="32"/>
          <w:szCs w:val="32"/>
        </w:rPr>
        <w:t>万元，主要包括工资福利支出</w:t>
      </w:r>
      <w:r>
        <w:rPr>
          <w:rFonts w:hint="eastAsia" w:ascii="仿宋" w:hAnsi="仿宋" w:eastAsia="仿宋" w:cs="仿宋"/>
          <w:spacing w:val="4"/>
          <w:sz w:val="32"/>
          <w:szCs w:val="32"/>
        </w:rPr>
        <w:t>1106.57</w:t>
      </w:r>
      <w:r>
        <w:rPr>
          <w:rFonts w:hint="eastAsia" w:ascii="宋体" w:hAnsi="宋体" w:eastAsia="仿宋_GB2312" w:cs="Times New Roman"/>
          <w:sz w:val="32"/>
          <w:szCs w:val="32"/>
        </w:rPr>
        <w:t>万元和对个人和家庭的补助</w:t>
      </w:r>
      <w:r>
        <w:rPr>
          <w:rFonts w:hint="eastAsia" w:ascii="仿宋" w:hAnsi="仿宋" w:eastAsia="仿宋" w:cs="仿宋"/>
          <w:spacing w:val="4"/>
          <w:sz w:val="32"/>
          <w:szCs w:val="32"/>
          <w:lang w:val="en-US" w:eastAsia="zh-CN"/>
        </w:rPr>
        <w:t>26.79</w:t>
      </w:r>
      <w:r>
        <w:rPr>
          <w:rFonts w:hint="eastAsia" w:ascii="宋体" w:hAnsi="宋体" w:eastAsia="仿宋_GB2312" w:cs="Times New Roman"/>
          <w:sz w:val="32"/>
          <w:szCs w:val="32"/>
        </w:rPr>
        <w:t>万元；公用经费</w:t>
      </w:r>
      <w:r>
        <w:rPr>
          <w:rFonts w:hint="eastAsia" w:ascii="仿宋" w:hAnsi="仿宋" w:eastAsia="仿宋" w:cs="仿宋"/>
          <w:spacing w:val="4"/>
          <w:sz w:val="32"/>
          <w:szCs w:val="32"/>
        </w:rPr>
        <w:t>142.18</w:t>
      </w:r>
      <w:r>
        <w:rPr>
          <w:rFonts w:hint="eastAsia" w:ascii="宋体" w:hAnsi="宋体" w:eastAsia="仿宋_GB2312" w:cs="Times New Roman"/>
          <w:sz w:val="32"/>
          <w:szCs w:val="32"/>
        </w:rPr>
        <w:t xml:space="preserve">万元，主要包括商品和服务支出 </w:t>
      </w:r>
      <w:r>
        <w:rPr>
          <w:rFonts w:hint="eastAsia" w:ascii="仿宋" w:hAnsi="仿宋" w:eastAsia="仿宋" w:cs="仿宋"/>
          <w:spacing w:val="4"/>
          <w:sz w:val="32"/>
          <w:szCs w:val="32"/>
        </w:rPr>
        <w:t>130.32</w:t>
      </w:r>
      <w:r>
        <w:rPr>
          <w:rFonts w:hint="eastAsia" w:ascii="宋体" w:hAnsi="宋体" w:eastAsia="仿宋_GB2312" w:cs="Times New Roman"/>
          <w:sz w:val="32"/>
          <w:szCs w:val="32"/>
        </w:rPr>
        <w:t>万元和资本性支出</w:t>
      </w:r>
      <w:r>
        <w:rPr>
          <w:rFonts w:hint="eastAsia" w:ascii="仿宋" w:hAnsi="仿宋" w:eastAsia="仿宋" w:cs="仿宋"/>
          <w:spacing w:val="4"/>
          <w:sz w:val="32"/>
          <w:szCs w:val="32"/>
        </w:rPr>
        <w:t>11.86</w:t>
      </w:r>
      <w:r>
        <w:rPr>
          <w:rFonts w:hint="eastAsia" w:ascii="宋体" w:hAnsi="宋体" w:eastAsia="仿宋_GB2312" w:cs="Times New Roman"/>
          <w:sz w:val="32"/>
          <w:szCs w:val="32"/>
        </w:rPr>
        <w:t>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七、一般公共预算财政拨款“三公”经费支出决算情况说明</w:t>
      </w:r>
      <w:bookmarkEnd w:id="16"/>
      <w:bookmarkEnd w:id="17"/>
    </w:p>
    <w:p>
      <w:pPr>
        <w:ind w:firstLine="640" w:firstLineChars="200"/>
        <w:rPr>
          <w:rFonts w:ascii="宋体" w:hAnsi="宋体" w:eastAsia="仿宋_GB2312" w:cs="Times New Roman"/>
          <w:sz w:val="32"/>
          <w:szCs w:val="32"/>
        </w:rPr>
      </w:pPr>
      <w:bookmarkStart w:id="18" w:name="_Toc10214_WPSOffice_Level2"/>
      <w:bookmarkStart w:id="19" w:name="_Toc9131_WPSOffice_Level2"/>
      <w:r>
        <w:rPr>
          <w:rFonts w:hint="eastAsia" w:ascii="宋体" w:hAnsi="宋体" w:eastAsia="仿宋_GB2312" w:cs="Times New Roman"/>
          <w:sz w:val="32"/>
          <w:szCs w:val="32"/>
        </w:rPr>
        <w:t>2021年年我校无“三公”经费支出。与2020年相比无变化。</w:t>
      </w:r>
    </w:p>
    <w:bookmarkEnd w:id="18"/>
    <w:bookmarkEnd w:id="19"/>
    <w:p>
      <w:pPr>
        <w:numPr>
          <w:ilvl w:val="0"/>
          <w:numId w:val="3"/>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政府性基金预算收入支出决算情况说明</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2021年我校无政府性基金预算财政拨款收支</w:t>
      </w:r>
    </w:p>
    <w:p>
      <w:pPr>
        <w:rPr>
          <w:rFonts w:ascii="楷体" w:hAnsi="楷体" w:eastAsia="楷体" w:cs="楷体"/>
          <w:spacing w:val="-3"/>
          <w:sz w:val="32"/>
          <w:szCs w:val="32"/>
        </w:rPr>
      </w:pPr>
      <w:r>
        <w:rPr>
          <w:rFonts w:hint="eastAsia" w:ascii="楷体" w:hAnsi="楷体" w:eastAsia="楷体" w:cs="楷体"/>
          <w:spacing w:val="-3"/>
          <w:sz w:val="32"/>
          <w:szCs w:val="32"/>
        </w:rPr>
        <w:t>九、其他重要事项的情况说明</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1.机关运行经费支出情况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我校无机关运行经费。</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2.政府采购支出情况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2021年我单位政府采购总额</w:t>
      </w:r>
      <w:r>
        <w:rPr>
          <w:rFonts w:hint="eastAsia" w:ascii="仿宋" w:hAnsi="仿宋" w:eastAsia="仿宋" w:cs="仿宋"/>
          <w:spacing w:val="4"/>
          <w:sz w:val="32"/>
          <w:szCs w:val="32"/>
        </w:rPr>
        <w:t>12.90</w:t>
      </w:r>
      <w:r>
        <w:rPr>
          <w:rFonts w:hint="eastAsia" w:ascii="宋体" w:hAnsi="宋体" w:eastAsia="仿宋_GB2312" w:cs="Times New Roman"/>
          <w:sz w:val="32"/>
          <w:szCs w:val="32"/>
        </w:rPr>
        <w:t>万元，其中：政府采购服务12.90万元。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3、国有资产占有情况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截至2021年12月31日，本部门共有车辆</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辆，其中，主要领导干部用车0辆、机要通信用车0辆、应急保障用车0辆、执法执勤用车0辆、特种专业技术用车0辆、离退休干部用车0辆、其他用车</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 单价50万元（含）以上的通用设备0台（套）， 单价100万元（含）以上专用设备0台（套）。</w:t>
      </w:r>
    </w:p>
    <w:p>
      <w:pPr>
        <w:numPr>
          <w:ilvl w:val="0"/>
          <w:numId w:val="4"/>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绩效管理情况</w:t>
      </w:r>
    </w:p>
    <w:p>
      <w:pPr>
        <w:pStyle w:val="2"/>
        <w:rPr>
          <w:rFonts w:hint="default" w:eastAsia="楷体"/>
          <w:lang w:val="en-US" w:eastAsia="zh-CN"/>
        </w:rPr>
      </w:pPr>
      <w:r>
        <w:rPr>
          <w:rFonts w:hint="eastAsia" w:ascii="楷体" w:hAnsi="楷体" w:eastAsia="楷体" w:cs="楷体"/>
          <w:spacing w:val="-3"/>
          <w:sz w:val="32"/>
          <w:szCs w:val="32"/>
          <w:lang w:val="en-US" w:eastAsia="zh-CN"/>
        </w:rPr>
        <w:t>2021年我单位未开展绩效评价工作</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5.政府购买服务指导性目录。</w:t>
      </w:r>
    </w:p>
    <w:p>
      <w:pPr>
        <w:spacing w:line="204" w:lineRule="auto"/>
        <w:ind w:firstLine="656" w:firstLineChars="200"/>
        <w:jc w:val="left"/>
        <w:rPr>
          <w:rFonts w:ascii="仿宋" w:hAnsi="仿宋" w:eastAsia="仿宋" w:cs="仿宋"/>
          <w:spacing w:val="4"/>
          <w:sz w:val="32"/>
          <w:szCs w:val="32"/>
        </w:rPr>
      </w:pPr>
      <w:r>
        <w:rPr>
          <w:rFonts w:hint="eastAsia" w:ascii="仿宋" w:hAnsi="仿宋" w:eastAsia="仿宋" w:cs="仿宋"/>
          <w:spacing w:val="4"/>
          <w:sz w:val="32"/>
          <w:szCs w:val="32"/>
        </w:rPr>
        <w:t>无</w:t>
      </w:r>
    </w:p>
    <w:p>
      <w:pPr>
        <w:ind w:firstLine="2808" w:firstLineChars="900"/>
        <w:outlineLvl w:val="0"/>
        <w:rPr>
          <w:rFonts w:ascii="黑体" w:hAnsi="黑体" w:eastAsia="黑体" w:cs="黑体"/>
          <w:snapToGrid w:val="0"/>
          <w:spacing w:val="-4"/>
          <w:kern w:val="0"/>
          <w:sz w:val="32"/>
          <w:szCs w:val="32"/>
        </w:rPr>
      </w:pPr>
      <w:bookmarkStart w:id="20" w:name="_Toc8549_WPSOffice_Level1"/>
      <w:bookmarkStart w:id="21" w:name="_Toc32537"/>
      <w:r>
        <w:rPr>
          <w:rFonts w:hint="eastAsia" w:ascii="黑体" w:hAnsi="黑体" w:eastAsia="黑体" w:cs="黑体"/>
          <w:snapToGrid w:val="0"/>
          <w:spacing w:val="-4"/>
          <w:kern w:val="0"/>
          <w:sz w:val="32"/>
          <w:szCs w:val="32"/>
        </w:rPr>
        <w:t xml:space="preserve">第四部分 </w:t>
      </w:r>
      <w:r>
        <w:rPr>
          <w:rFonts w:ascii="黑体" w:hAnsi="黑体" w:eastAsia="黑体" w:cs="黑体"/>
          <w:snapToGrid w:val="0"/>
          <w:spacing w:val="-4"/>
          <w:kern w:val="0"/>
          <w:sz w:val="32"/>
          <w:szCs w:val="32"/>
        </w:rPr>
        <w:t>名词解释</w:t>
      </w:r>
      <w:bookmarkEnd w:id="20"/>
      <w:bookmarkEnd w:id="21"/>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财政拨款收入</w:t>
      </w:r>
      <w:r>
        <w:rPr>
          <w:rFonts w:hint="eastAsia" w:ascii="仿宋" w:hAnsi="仿宋" w:eastAsia="仿宋" w:cs="仿宋"/>
          <w:spacing w:val="4"/>
          <w:sz w:val="32"/>
          <w:szCs w:val="32"/>
        </w:rPr>
        <w:t>:指同级财政当年拨付的资金。</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上级补助收入</w:t>
      </w:r>
      <w:r>
        <w:rPr>
          <w:rFonts w:hint="eastAsia" w:ascii="仿宋" w:hAnsi="仿宋" w:eastAsia="仿宋" w:cs="仿宋"/>
          <w:spacing w:val="4"/>
          <w:sz w:val="32"/>
          <w:szCs w:val="32"/>
        </w:rPr>
        <w:t>:指事业单位从主管部门和上级单位取得的非财政补助收入。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事业收入</w:t>
      </w:r>
      <w:r>
        <w:rPr>
          <w:rFonts w:hint="eastAsia" w:ascii="仿宋" w:hAnsi="仿宋" w:eastAsia="仿宋" w:cs="仿宋"/>
          <w:spacing w:val="4"/>
          <w:sz w:val="32"/>
          <w:szCs w:val="32"/>
        </w:rPr>
        <w:t>:指事业单位开展专业业务活动及其辅助活动所取得的收入。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经营收入</w:t>
      </w:r>
      <w:r>
        <w:rPr>
          <w:rFonts w:hint="eastAsia" w:ascii="仿宋" w:hAnsi="仿宋" w:eastAsia="仿宋" w:cs="仿宋"/>
          <w:spacing w:val="4"/>
          <w:sz w:val="32"/>
          <w:szCs w:val="32"/>
        </w:rPr>
        <w:t>:指事业单位在专业业务活动及其辅助活动之外开展非独立核算经营活动取得的收入。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附属单位缴款</w:t>
      </w:r>
      <w:r>
        <w:rPr>
          <w:rFonts w:hint="eastAsia" w:ascii="仿宋" w:hAnsi="仿宋" w:eastAsia="仿宋" w:cs="仿宋"/>
          <w:spacing w:val="4"/>
          <w:sz w:val="32"/>
          <w:szCs w:val="32"/>
        </w:rPr>
        <w:t>:指事业单位附属的独立核算单位按有关规定上缴的收入。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其他收入</w:t>
      </w:r>
      <w:r>
        <w:rPr>
          <w:rFonts w:hint="eastAsia" w:ascii="仿宋" w:hAnsi="仿宋" w:eastAsia="仿宋" w:cs="仿宋"/>
          <w:spacing w:val="4"/>
          <w:sz w:val="32"/>
          <w:szCs w:val="32"/>
        </w:rPr>
        <w:t>:指除上述“财政拨款收入”、“事业收入”、“经营收入”、“附属单位缴款”等之外取得的收入。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用事业基金弥补收支差额</w:t>
      </w:r>
      <w:r>
        <w:rPr>
          <w:rFonts w:hint="eastAsia" w:ascii="仿宋" w:hAnsi="仿宋" w:eastAsia="仿宋" w:cs="仿宋"/>
          <w:spacing w:val="4"/>
          <w:sz w:val="32"/>
          <w:szCs w:val="32"/>
        </w:rPr>
        <w:t>:指事业单位在当年的“财政拨款收入”、“财政拨款结转和结余资金”、“事业收入”、“事业单位经营收入”、“其他区收入”不足以安排当年支出的情况下，使用以前年度积累的事业基金(即事业单位当年收支相抵后按国家规定提取、用于弥补以后年度收支差额的基金)弥补本年度收支缺口的资金。</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上年结转和结余</w:t>
      </w:r>
      <w:r>
        <w:rPr>
          <w:rFonts w:hint="eastAsia" w:ascii="仿宋" w:hAnsi="仿宋" w:eastAsia="仿宋" w:cs="仿宋"/>
          <w:spacing w:val="4"/>
          <w:sz w:val="32"/>
          <w:szCs w:val="32"/>
        </w:rPr>
        <w:t>：指以前年度支出预算因客观条件变化未执行完毕、结转到本年度按有关规定继续使用的资金，既包括财政拨款结转和结余，也包括事业收入、经营收入、其他收入的结转和结余。</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结余分配</w:t>
      </w:r>
      <w:r>
        <w:rPr>
          <w:rFonts w:hint="eastAsia" w:ascii="仿宋" w:hAnsi="仿宋" w:eastAsia="仿宋" w:cs="仿宋"/>
          <w:spacing w:val="4"/>
          <w:sz w:val="32"/>
          <w:szCs w:val="32"/>
        </w:rPr>
        <w:t>：反应单位当年结余的分配情况。</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年末结转和结余</w:t>
      </w:r>
      <w:r>
        <w:rPr>
          <w:rFonts w:hint="eastAsia" w:ascii="仿宋" w:hAnsi="仿宋" w:eastAsia="仿宋" w:cs="仿宋"/>
          <w:spacing w:val="4"/>
          <w:sz w:val="32"/>
          <w:szCs w:val="32"/>
        </w:rPr>
        <w:t>：指本年度或以前年度预算安排、因客观条件发生变化按原计划实施，需要延迟到以后年度按有关规定继续使用的资金，既包括财政拨款结转和结余，也包括事业收入、经营收入、其他收入的结转和结余。</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基本支出</w:t>
      </w:r>
      <w:r>
        <w:rPr>
          <w:rFonts w:hint="eastAsia" w:ascii="仿宋" w:hAnsi="仿宋" w:eastAsia="仿宋" w:cs="仿宋"/>
          <w:spacing w:val="4"/>
          <w:sz w:val="32"/>
          <w:szCs w:val="32"/>
        </w:rPr>
        <w:t>：指为保障机构正常运转、完成日常工作任务而发生的人员支出和公用支出。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项目支出</w:t>
      </w:r>
      <w:r>
        <w:rPr>
          <w:rFonts w:hint="eastAsia" w:ascii="仿宋" w:hAnsi="仿宋" w:eastAsia="仿宋" w:cs="仿宋"/>
          <w:spacing w:val="4"/>
          <w:sz w:val="32"/>
          <w:szCs w:val="32"/>
        </w:rPr>
        <w:t>：指在基本支出之外为完成特定行政任务和事业发展目标所发生的支出。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经营支出</w:t>
      </w:r>
      <w:r>
        <w:rPr>
          <w:rFonts w:hint="eastAsia" w:ascii="仿宋" w:hAnsi="仿宋" w:eastAsia="仿宋" w:cs="仿宋"/>
          <w:spacing w:val="4"/>
          <w:sz w:val="32"/>
          <w:szCs w:val="32"/>
        </w:rPr>
        <w:t>：指事业单位在专业业务活动及其辅助活动之外开展非独立核算经营活动发生的支出。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对附属单位补助支出</w:t>
      </w:r>
      <w:r>
        <w:rPr>
          <w:rFonts w:hint="eastAsia" w:ascii="仿宋" w:hAnsi="仿宋" w:eastAsia="仿宋" w:cs="仿宋"/>
          <w:spacing w:val="4"/>
          <w:sz w:val="32"/>
          <w:szCs w:val="32"/>
        </w:rPr>
        <w:t>：指事业单位发生的用非财政预算资金对附属单位的补助支出。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“三公”经费</w:t>
      </w:r>
      <w:r>
        <w:rPr>
          <w:rFonts w:hint="eastAsia" w:ascii="仿宋" w:hAnsi="仿宋" w:eastAsia="仿宋" w:cs="仿宋"/>
          <w:spacing w:val="4"/>
          <w:sz w:val="32"/>
          <w:szCs w:val="32"/>
        </w:rPr>
        <w:t>：纳入同级财政预决算管理的“三公”经费是指用一般公共预算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等支出；公务接待费反映单位按规定开支的各类公务接待（含外宾接待）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机关运行经费</w:t>
      </w:r>
      <w:r>
        <w:rPr>
          <w:rFonts w:hint="eastAsia" w:ascii="仿宋" w:hAnsi="仿宋" w:eastAsia="仿宋" w:cs="仿宋"/>
          <w:spacing w:val="4"/>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204" w:lineRule="auto"/>
        <w:jc w:val="left"/>
      </w:pPr>
      <w:r>
        <w:rPr>
          <w:rFonts w:hint="eastAsia" w:ascii="仿宋" w:hAnsi="仿宋" w:eastAsia="仿宋" w:cs="仿宋"/>
          <w:b/>
          <w:bCs/>
          <w:spacing w:val="4"/>
          <w:sz w:val="32"/>
          <w:szCs w:val="32"/>
        </w:rPr>
        <w:t>其他需要解释的名词</w:t>
      </w:r>
      <w:r>
        <w:rPr>
          <w:rFonts w:hint="eastAsia" w:ascii="仿宋" w:hAnsi="仿宋" w:eastAsia="仿宋" w:cs="仿宋"/>
          <w:spacing w:val="4"/>
          <w:sz w:val="32"/>
          <w:szCs w:val="32"/>
        </w:rPr>
        <w:t>。</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E0828"/>
    <w:multiLevelType w:val="singleLevel"/>
    <w:tmpl w:val="0CAE0828"/>
    <w:lvl w:ilvl="0" w:tentative="0">
      <w:start w:val="8"/>
      <w:numFmt w:val="chineseCounting"/>
      <w:suff w:val="nothing"/>
      <w:lvlText w:val="%1、"/>
      <w:lvlJc w:val="left"/>
      <w:rPr>
        <w:rFonts w:hint="eastAsia"/>
      </w:rPr>
    </w:lvl>
  </w:abstractNum>
  <w:abstractNum w:abstractNumId="1">
    <w:nsid w:val="32CD2E15"/>
    <w:multiLevelType w:val="singleLevel"/>
    <w:tmpl w:val="32CD2E15"/>
    <w:lvl w:ilvl="0" w:tentative="0">
      <w:start w:val="1"/>
      <w:numFmt w:val="chineseCounting"/>
      <w:suff w:val="nothing"/>
      <w:lvlText w:val="（%1）"/>
      <w:lvlJc w:val="left"/>
      <w:rPr>
        <w:rFonts w:hint="eastAsia"/>
      </w:rPr>
    </w:lvl>
  </w:abstractNum>
  <w:abstractNum w:abstractNumId="2">
    <w:nsid w:val="40B6F801"/>
    <w:multiLevelType w:val="singleLevel"/>
    <w:tmpl w:val="40B6F801"/>
    <w:lvl w:ilvl="0" w:tentative="0">
      <w:start w:val="4"/>
      <w:numFmt w:val="decimal"/>
      <w:lvlText w:val="%1."/>
      <w:lvlJc w:val="left"/>
      <w:pPr>
        <w:tabs>
          <w:tab w:val="left" w:pos="312"/>
        </w:tabs>
      </w:pPr>
    </w:lvl>
  </w:abstractNum>
  <w:abstractNum w:abstractNumId="3">
    <w:nsid w:val="6AF4BF66"/>
    <w:multiLevelType w:val="singleLevel"/>
    <w:tmpl w:val="6AF4BF66"/>
    <w:lvl w:ilvl="0" w:tentative="0">
      <w:start w:val="1"/>
      <w:numFmt w:val="chineseCounting"/>
      <w:suff w:val="nothing"/>
      <w:lvlText w:val="%1、"/>
      <w:lvlJc w:val="left"/>
      <w:rPr>
        <w:rFonts w:hint="eastAsia"/>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7E3F0B7D"/>
    <w:rsid w:val="000014A7"/>
    <w:rsid w:val="00052B5B"/>
    <w:rsid w:val="000971D7"/>
    <w:rsid w:val="00225BAD"/>
    <w:rsid w:val="002A5D04"/>
    <w:rsid w:val="0030329E"/>
    <w:rsid w:val="0031648A"/>
    <w:rsid w:val="003320AD"/>
    <w:rsid w:val="00454AD5"/>
    <w:rsid w:val="004602D5"/>
    <w:rsid w:val="004D0009"/>
    <w:rsid w:val="00543F91"/>
    <w:rsid w:val="005D2852"/>
    <w:rsid w:val="00774AFB"/>
    <w:rsid w:val="00827B57"/>
    <w:rsid w:val="008D3536"/>
    <w:rsid w:val="008D4110"/>
    <w:rsid w:val="00AC14F7"/>
    <w:rsid w:val="00D1228F"/>
    <w:rsid w:val="00DB5B5F"/>
    <w:rsid w:val="00DF5DB2"/>
    <w:rsid w:val="00E4217F"/>
    <w:rsid w:val="00E605F3"/>
    <w:rsid w:val="00FD75BD"/>
    <w:rsid w:val="06B6716D"/>
    <w:rsid w:val="0E115DFD"/>
    <w:rsid w:val="11D27EAE"/>
    <w:rsid w:val="192B3610"/>
    <w:rsid w:val="20D97C1B"/>
    <w:rsid w:val="23553F43"/>
    <w:rsid w:val="299664C8"/>
    <w:rsid w:val="3F28132A"/>
    <w:rsid w:val="49221B6F"/>
    <w:rsid w:val="6544153D"/>
    <w:rsid w:val="68CD37BD"/>
    <w:rsid w:val="6C940C35"/>
    <w:rsid w:val="7E3F0B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unhideWhenUsed/>
    <w:qFormat/>
    <w:uiPriority w:val="99"/>
    <w:pPr>
      <w:spacing w:after="0"/>
      <w:ind w:firstLine="420"/>
    </w:pPr>
  </w:style>
  <w:style w:type="paragraph" w:styleId="3">
    <w:name w:val="Body Text"/>
    <w:basedOn w:val="1"/>
    <w:unhideWhenUsed/>
    <w:qFormat/>
    <w:uiPriority w:val="99"/>
    <w:pPr>
      <w:spacing w:after="120"/>
    </w:pPr>
  </w:style>
  <w:style w:type="paragraph" w:styleId="4">
    <w:name w:val="Date"/>
    <w:basedOn w:val="1"/>
    <w:next w:val="1"/>
    <w:link w:val="12"/>
    <w:qFormat/>
    <w:uiPriority w:val="0"/>
    <w:pPr>
      <w:ind w:left="100" w:leftChars="2500"/>
    </w:p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9">
    <w:name w:val="WPSOffice手动目录 1"/>
    <w:qFormat/>
    <w:uiPriority w:val="0"/>
    <w:rPr>
      <w:rFonts w:ascii="Times New Roman" w:hAnsi="Times New Roman" w:eastAsia="宋体" w:cs="Times New Roman"/>
      <w:lang w:val="en-US" w:eastAsia="zh-CN" w:bidi="ar-SA"/>
    </w:rPr>
  </w:style>
  <w:style w:type="paragraph" w:customStyle="1" w:styleId="10">
    <w:name w:val="WPSOffice手动目录 2"/>
    <w:qFormat/>
    <w:uiPriority w:val="0"/>
    <w:pPr>
      <w:ind w:left="200" w:leftChars="200"/>
    </w:pPr>
    <w:rPr>
      <w:rFonts w:ascii="Times New Roman" w:hAnsi="Times New Roman" w:eastAsia="宋体" w:cs="Times New Roman"/>
      <w:lang w:val="en-US" w:eastAsia="zh-CN" w:bidi="ar-SA"/>
    </w:rPr>
  </w:style>
  <w:style w:type="paragraph" w:styleId="11">
    <w:name w:val="List Paragraph"/>
    <w:basedOn w:val="1"/>
    <w:unhideWhenUsed/>
    <w:qFormat/>
    <w:uiPriority w:val="99"/>
    <w:pPr>
      <w:ind w:firstLine="420" w:firstLineChars="200"/>
    </w:pPr>
  </w:style>
  <w:style w:type="character" w:customStyle="1" w:styleId="12">
    <w:name w:val="日期 Char"/>
    <w:basedOn w:val="8"/>
    <w:link w:val="4"/>
    <w:qFormat/>
    <w:uiPriority w:val="0"/>
    <w:rPr>
      <w:rFonts w:asciiTheme="minorHAnsi" w:hAnsiTheme="minorHAnsi" w:eastAsiaTheme="minorEastAsia" w:cstheme="minorBidi"/>
      <w:kern w:val="2"/>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7</Pages>
  <Words>2534</Words>
  <Characters>2792</Characters>
  <Lines>23</Lines>
  <Paragraphs>6</Paragraphs>
  <TotalTime>0</TotalTime>
  <ScaleCrop>false</ScaleCrop>
  <LinksUpToDate>false</LinksUpToDate>
  <CharactersWithSpaces>2838</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2021-10-28T10:29:00Z</dcterms:created>
  <dc:creator>Administrator</dc:creator>
  <cp:lastModifiedBy>Administrator</cp:lastModifiedBy>
  <cp:lastPrinted>2021-10-28T11:45:00Z</cp:lastPrinted>
  <dcterms:modified xsi:type="dcterms:W3CDTF">2022-09-21T08:01:10Z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F73F8A2A21FC49149C08BEDA41DB538A</vt:lpwstr>
  </property>
</Properties>
</file>