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朔州市朔城区第五中学校2021年部门决算公开情况说明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left="630" w:leftChars="3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left="630" w:leftChars="3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left="630" w:leftChars="300"/>
        <w:rPr>
          <w:rFonts w:ascii="仿宋" w:hAnsi="仿宋" w:eastAsia="仿宋" w:cs="仿宋"/>
          <w:sz w:val="32"/>
          <w:szCs w:val="32"/>
        </w:rPr>
      </w:pPr>
      <w:r>
        <w:rPr>
          <w:rFonts w:hint="eastAsia" w:ascii="仿宋" w:hAnsi="仿宋" w:eastAsia="仿宋" w:cs="仿宋"/>
          <w:sz w:val="32"/>
          <w:szCs w:val="32"/>
        </w:rPr>
        <w:t>5、坚持教书育人，服务育人，环境育人方针，加强对学生的思想品德教育，使学生的德智体全面发展。</w:t>
      </w:r>
    </w:p>
    <w:p>
      <w:pPr>
        <w:rPr>
          <w:rFonts w:ascii="仿宋" w:hAnsi="仿宋" w:eastAsia="仿宋" w:cs="仿宋"/>
          <w:sz w:val="32"/>
          <w:szCs w:val="32"/>
        </w:rPr>
      </w:pPr>
      <w:r>
        <w:rPr>
          <w:rFonts w:hint="eastAsia" w:ascii="仿宋" w:hAnsi="仿宋" w:eastAsia="仿宋" w:cs="仿宋"/>
          <w:sz w:val="32"/>
          <w:szCs w:val="32"/>
        </w:rPr>
        <w:t>（二）部门机构设置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本单位内设7个科室，无下属单位。从预算单位构成看，单位部门决算包括：本级决算。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2021 年 度 收 入 总 计2517.39万元 、 支 出 总 计2517.39万元。与 2020年相比,收入总计减少196.04万元，支出总计减少196.04万元。主要原因是：</w:t>
      </w:r>
      <w:r>
        <w:rPr>
          <w:rFonts w:hint="eastAsia" w:ascii="宋体" w:hAnsi="宋体" w:eastAsia="仿宋_GB2312" w:cs="Times New Roman"/>
          <w:sz w:val="32"/>
          <w:szCs w:val="32"/>
          <w:lang w:val="en-US" w:eastAsia="zh-CN"/>
        </w:rPr>
        <w:t>学生人数减少。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2210.30</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2210.15</w:t>
      </w:r>
      <w:r>
        <w:rPr>
          <w:rFonts w:hint="eastAsia" w:ascii="宋体" w:hAnsi="宋体" w:eastAsia="仿宋_GB2312" w:cs="Times New Roman"/>
          <w:sz w:val="32"/>
          <w:szCs w:val="32"/>
        </w:rPr>
        <w:t>万元;上级补助收入0万元；事业收入0万元；经营收入0万元；附属单位上缴收入 0 万元；其他收入0.15万元。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2514.34</w:t>
      </w:r>
      <w:r>
        <w:rPr>
          <w:rFonts w:hint="eastAsia" w:ascii="宋体" w:hAnsi="宋体" w:eastAsia="仿宋_GB2312" w:cs="Times New Roman"/>
          <w:sz w:val="32"/>
          <w:szCs w:val="32"/>
        </w:rPr>
        <w:t>万元 ，其中：基本支出</w:t>
      </w:r>
      <w:r>
        <w:rPr>
          <w:rFonts w:hint="eastAsia" w:ascii="仿宋" w:hAnsi="仿宋" w:eastAsia="仿宋" w:cs="仿宋"/>
          <w:sz w:val="32"/>
          <w:szCs w:val="32"/>
        </w:rPr>
        <w:t>2400.72</w:t>
      </w:r>
      <w:r>
        <w:rPr>
          <w:rFonts w:hint="eastAsia" w:ascii="宋体" w:hAnsi="宋体" w:eastAsia="仿宋_GB2312" w:cs="Times New Roman"/>
          <w:sz w:val="32"/>
          <w:szCs w:val="32"/>
        </w:rPr>
        <w:t>万元 ；项目支出</w:t>
      </w:r>
      <w:r>
        <w:rPr>
          <w:rFonts w:hint="eastAsia" w:ascii="仿宋" w:hAnsi="仿宋" w:eastAsia="仿宋" w:cs="仿宋"/>
          <w:sz w:val="32"/>
          <w:szCs w:val="32"/>
        </w:rPr>
        <w:t>113.62</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2517.24</w:t>
      </w:r>
      <w:r>
        <w:rPr>
          <w:rFonts w:hint="eastAsia" w:ascii="宋体" w:hAnsi="宋体" w:eastAsia="仿宋_GB2312" w:cs="Times New Roman"/>
          <w:sz w:val="32"/>
          <w:szCs w:val="32"/>
        </w:rPr>
        <w:t>万元、支出总计2517.24万元。与 2020 年相比，财政拨款收入总计减少196.19万元，降低7.23%。主要原因是：</w:t>
      </w:r>
      <w:r>
        <w:rPr>
          <w:rFonts w:hint="eastAsia" w:ascii="宋体" w:hAnsi="宋体" w:eastAsia="仿宋_GB2312" w:cs="Times New Roman"/>
          <w:sz w:val="32"/>
          <w:szCs w:val="32"/>
          <w:lang w:val="en-US" w:eastAsia="zh-CN"/>
        </w:rPr>
        <w:t>学生人数减少。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2514.34</w:t>
      </w:r>
      <w:r>
        <w:rPr>
          <w:rFonts w:hint="eastAsia" w:ascii="宋体" w:hAnsi="宋体" w:eastAsia="仿宋_GB2312" w:cs="Times New Roman"/>
          <w:sz w:val="32"/>
          <w:szCs w:val="32"/>
        </w:rPr>
        <w:t>万元，与 2020 年相比，财政拨款支出增加10</w:t>
      </w:r>
      <w:r>
        <w:rPr>
          <w:rFonts w:hint="eastAsia" w:ascii="宋体" w:hAnsi="宋体" w:eastAsia="仿宋_GB2312" w:cs="Times New Roman"/>
          <w:sz w:val="32"/>
          <w:szCs w:val="32"/>
          <w:lang w:val="en-US" w:eastAsia="zh-CN"/>
        </w:rPr>
        <w:t>7.99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2020年末有结转。</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2514.34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2050203</w:t>
      </w:r>
      <w:r>
        <w:rPr>
          <w:rFonts w:hint="eastAsia" w:ascii="宋体" w:hAnsi="宋体" w:eastAsia="仿宋_GB2312" w:cs="Times New Roman"/>
          <w:sz w:val="32"/>
          <w:szCs w:val="32"/>
        </w:rPr>
        <w:t>初中教育支出2483.86万元，占98.79%；</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其他普通教育支出14.4万元，占0.57%；</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其他科学技术支出6.4万元，占0.25%；</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死亡抚恤9.68万元，占0.39%</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仿宋" w:hAnsi="仿宋" w:eastAsia="仿宋" w:cs="仿宋"/>
          <w:sz w:val="32"/>
          <w:szCs w:val="32"/>
        </w:rPr>
        <w:t>2517.2</w:t>
      </w:r>
      <w:r>
        <w:rPr>
          <w:rFonts w:hint="eastAsia" w:ascii="仿宋" w:hAnsi="仿宋" w:eastAsia="仿宋" w:cs="仿宋"/>
          <w:sz w:val="32"/>
          <w:szCs w:val="32"/>
          <w:lang w:val="en-US" w:eastAsia="zh-CN"/>
        </w:rPr>
        <w:t>3</w:t>
      </w:r>
      <w:r>
        <w:rPr>
          <w:rFonts w:hint="eastAsia" w:ascii="宋体" w:hAnsi="宋体" w:eastAsia="仿宋_GB2312" w:cs="Times New Roman"/>
          <w:sz w:val="32"/>
          <w:szCs w:val="32"/>
        </w:rPr>
        <w:t>万元，支出决算为</w:t>
      </w:r>
      <w:r>
        <w:rPr>
          <w:rFonts w:hint="eastAsia" w:ascii="仿宋" w:hAnsi="仿宋" w:eastAsia="仿宋" w:cs="仿宋"/>
          <w:sz w:val="32"/>
          <w:szCs w:val="32"/>
        </w:rPr>
        <w:t>2514.34</w:t>
      </w:r>
      <w:r>
        <w:rPr>
          <w:rFonts w:hint="eastAsia" w:ascii="宋体" w:hAnsi="宋体" w:eastAsia="仿宋_GB2312" w:cs="Times New Roman"/>
          <w:sz w:val="32"/>
          <w:szCs w:val="32"/>
        </w:rPr>
        <w:t>万元，完成当年调整预算的99.88%。决算数小于预算数的原因有教师社会保障缴费无法缴纳，下年度将支出。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z w:val="32"/>
          <w:szCs w:val="32"/>
          <w:lang w:val="en-US" w:eastAsia="zh-CN"/>
        </w:rPr>
        <w:t>2400.72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2102.11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2076.74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25.37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298.61</w:t>
      </w:r>
      <w:r>
        <w:rPr>
          <w:rFonts w:hint="eastAsia" w:ascii="宋体" w:hAnsi="宋体" w:eastAsia="仿宋_GB2312" w:cs="Times New Roman"/>
          <w:sz w:val="32"/>
          <w:szCs w:val="32"/>
        </w:rPr>
        <w:t>万元，主要包括商品和服务支出</w:t>
      </w:r>
      <w:r>
        <w:rPr>
          <w:rFonts w:hint="eastAsia" w:ascii="仿宋" w:hAnsi="仿宋" w:eastAsia="仿宋" w:cs="仿宋"/>
          <w:spacing w:val="4"/>
          <w:sz w:val="32"/>
          <w:szCs w:val="32"/>
          <w:lang w:val="en-US" w:eastAsia="zh-CN"/>
        </w:rPr>
        <w:t>242.51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56.10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val="en-US" w:eastAsia="zh-CN"/>
        </w:rPr>
        <w:t>2021年我单位无“三公”经费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ind w:firstLine="628" w:firstLineChars="200"/>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14.39</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14.39</w:t>
      </w:r>
      <w:r>
        <w:rPr>
          <w:rFonts w:hint="eastAsia" w:ascii="宋体" w:hAnsi="宋体" w:eastAsia="仿宋_GB2312" w:cs="Times New Roman"/>
          <w:sz w:val="32"/>
          <w:szCs w:val="32"/>
        </w:rPr>
        <w:t>万元、政府采购工程0万元、政府采购服务0万元。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辆，其中，主要领导干部用车0辆、机要通信用车0辆、应急保障用车0辆、执法执勤用车0辆、特种专业技术用车0辆、离退休干部用车0辆、其他用车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单价50万元（含）以上的通用设备0台（套）， 单价100万元（含）以上专用设备0台（套）。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lang w:val="en-US"/>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652CA"/>
    <w:rsid w:val="00097BE6"/>
    <w:rsid w:val="001273C5"/>
    <w:rsid w:val="001D4066"/>
    <w:rsid w:val="002A3271"/>
    <w:rsid w:val="004C1442"/>
    <w:rsid w:val="005B35A7"/>
    <w:rsid w:val="00673D50"/>
    <w:rsid w:val="006753B6"/>
    <w:rsid w:val="00701412"/>
    <w:rsid w:val="00774AFB"/>
    <w:rsid w:val="00A035D0"/>
    <w:rsid w:val="00A0614D"/>
    <w:rsid w:val="00C16822"/>
    <w:rsid w:val="00D22F2D"/>
    <w:rsid w:val="00E15584"/>
    <w:rsid w:val="00E4217F"/>
    <w:rsid w:val="00E52D38"/>
    <w:rsid w:val="0E115DFD"/>
    <w:rsid w:val="11D27EAE"/>
    <w:rsid w:val="20D97C1B"/>
    <w:rsid w:val="23553F43"/>
    <w:rsid w:val="299664C8"/>
    <w:rsid w:val="397E227E"/>
    <w:rsid w:val="3F28132A"/>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508</Words>
  <Characters>2898</Characters>
  <Lines>24</Lines>
  <Paragraphs>6</Paragraphs>
  <TotalTime>0</TotalTime>
  <ScaleCrop>false</ScaleCrop>
  <LinksUpToDate>false</LinksUpToDate>
  <CharactersWithSpaces>3400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2022-09-22T02:10:23Z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