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eastAsia="黑体"/>
          <w:sz w:val="44"/>
          <w:szCs w:val="44"/>
        </w:rPr>
      </w:pPr>
      <w:r>
        <w:rPr>
          <w:rFonts w:ascii="黑体" w:eastAsia="黑体"/>
          <w:sz w:val="44"/>
          <w:szCs w:val="44"/>
        </w:rPr>
        <w:t>朔州市朔城区小平易乡祝家庄中心校</w:t>
      </w:r>
    </w:p>
    <w:p>
      <w:pPr>
        <w:jc w:val="center"/>
        <w:rPr>
          <w:rFonts w:ascii="黑体" w:eastAsia="黑体"/>
          <w:sz w:val="44"/>
          <w:szCs w:val="44"/>
        </w:rPr>
      </w:pPr>
      <w:r>
        <w:rPr>
          <w:rFonts w:hint="eastAsia" w:ascii="黑体" w:eastAsia="黑体"/>
          <w:sz w:val="44"/>
          <w:szCs w:val="44"/>
        </w:rPr>
        <w:t>2021年部门决算公开情况说明</w:t>
      </w:r>
    </w:p>
    <w:p>
      <w:pPr>
        <w:spacing w:line="360" w:lineRule="auto"/>
        <w:jc w:val="center"/>
        <w:rPr>
          <w:rFonts w:ascii="宋体" w:hAnsi="宋体" w:cs="宋体"/>
          <w:sz w:val="44"/>
          <w:szCs w:val="44"/>
        </w:rPr>
      </w:pPr>
    </w:p>
    <w:p>
      <w:pPr>
        <w:pStyle w:val="3"/>
      </w:pPr>
    </w:p>
    <w:p>
      <w:pPr>
        <w:spacing w:line="360" w:lineRule="auto"/>
        <w:jc w:val="center"/>
        <w:rPr>
          <w:rFonts w:ascii="宋体" w:hAnsi="宋体" w:cs="宋体"/>
          <w:sz w:val="44"/>
          <w:szCs w:val="44"/>
        </w:rPr>
      </w:pPr>
      <w:r>
        <w:rPr>
          <w:rFonts w:hint="eastAsia" w:ascii="宋体" w:hAnsi="宋体" w:cs="宋体"/>
          <w:sz w:val="44"/>
          <w:szCs w:val="44"/>
        </w:rPr>
        <w:t>目录</w:t>
      </w:r>
    </w:p>
    <w:p>
      <w:pPr>
        <w:pStyle w:val="6"/>
        <w:tabs>
          <w:tab w:val="right" w:leader="dot" w:pos="8336"/>
        </w:tabs>
        <w:spacing w:line="360" w:lineRule="auto"/>
        <w:ind w:firstLine="400" w:firstLineChars="200"/>
        <w:rPr>
          <w:rFonts w:ascii="宋体" w:hAnsi="宋体" w:cs="宋体"/>
          <w:b/>
          <w:sz w:val="30"/>
          <w:szCs w:val="30"/>
        </w:rPr>
      </w:pPr>
      <w:r>
        <w:fldChar w:fldCharType="begin"/>
      </w:r>
      <w:r>
        <w:instrText xml:space="preserve"> HYPERLINK \l "_Toc13618" </w:instrText>
      </w:r>
      <w:r>
        <w:fldChar w:fldCharType="separate"/>
      </w:r>
      <w:r>
        <w:fldChar w:fldCharType="end"/>
      </w:r>
      <w:r>
        <w:fldChar w:fldCharType="begin"/>
      </w:r>
      <w:r>
        <w:instrText xml:space="preserve"> HYPERLINK \l "_Toc5949" </w:instrText>
      </w:r>
      <w:r>
        <w:fldChar w:fldCharType="separate"/>
      </w:r>
      <w:r>
        <w:rPr>
          <w:rFonts w:hint="eastAsia" w:ascii="宋体" w:hAnsi="宋体" w:cs="宋体"/>
          <w:b/>
          <w:snapToGrid w:val="0"/>
          <w:spacing w:val="-4"/>
          <w:sz w:val="30"/>
          <w:szCs w:val="30"/>
        </w:rPr>
        <w:t>一、单位概况</w:t>
      </w:r>
      <w:r>
        <w:rPr>
          <w:rFonts w:hint="eastAsia" w:ascii="宋体" w:hAnsi="宋体" w:cs="宋体"/>
          <w:b/>
          <w:snapToGrid w:val="0"/>
          <w:spacing w:val="-4"/>
          <w:sz w:val="30"/>
          <w:szCs w:val="30"/>
        </w:rPr>
        <w:fldChar w:fldCharType="end"/>
      </w:r>
    </w:p>
    <w:p>
      <w:pPr>
        <w:pStyle w:val="7"/>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（一）部门职责。</w:t>
      </w:r>
    </w:p>
    <w:p>
      <w:pPr>
        <w:pStyle w:val="7"/>
        <w:tabs>
          <w:tab w:val="right" w:leader="dot" w:pos="8336"/>
        </w:tabs>
        <w:spacing w:line="360" w:lineRule="auto"/>
        <w:ind w:left="420" w:firstLine="294" w:firstLineChars="100"/>
        <w:rPr>
          <w:rFonts w:ascii="宋体" w:hAnsi="宋体" w:cs="宋体"/>
          <w:spacing w:val="-3"/>
          <w:sz w:val="30"/>
          <w:szCs w:val="30"/>
        </w:rPr>
      </w:pPr>
      <w:r>
        <w:rPr>
          <w:rFonts w:hint="eastAsia" w:ascii="宋体" w:hAnsi="宋体" w:cs="宋体"/>
          <w:spacing w:val="-3"/>
          <w:sz w:val="30"/>
          <w:szCs w:val="30"/>
        </w:rPr>
        <w:t>（二）机构设置。</w:t>
      </w:r>
    </w:p>
    <w:p>
      <w:pPr>
        <w:pStyle w:val="6"/>
        <w:tabs>
          <w:tab w:val="right" w:leader="dot" w:pos="8336"/>
        </w:tabs>
        <w:spacing w:line="360" w:lineRule="auto"/>
        <w:ind w:firstLine="600" w:firstLineChars="300"/>
        <w:rPr>
          <w:rFonts w:ascii="宋体" w:hAnsi="宋体" w:cs="宋体"/>
          <w:b/>
          <w:sz w:val="30"/>
          <w:szCs w:val="30"/>
        </w:rPr>
      </w:pPr>
      <w:r>
        <w:fldChar w:fldCharType="begin"/>
      </w:r>
      <w:r>
        <w:instrText xml:space="preserve"> HYPERLINK \l "_Toc21204" </w:instrText>
      </w:r>
      <w:r>
        <w:fldChar w:fldCharType="separate"/>
      </w:r>
      <w:r>
        <w:rPr>
          <w:rFonts w:hint="eastAsia" w:ascii="宋体" w:hAnsi="宋体" w:cs="宋体"/>
          <w:b/>
          <w:snapToGrid w:val="0"/>
          <w:spacing w:val="-4"/>
          <w:sz w:val="30"/>
          <w:szCs w:val="30"/>
        </w:rPr>
        <w:t>二、</w:t>
      </w:r>
      <w:r>
        <w:rPr>
          <w:rFonts w:hint="eastAsia" w:ascii="宋体" w:hAnsi="宋体" w:cs="宋体"/>
          <w:b/>
          <w:snapToGrid w:val="0"/>
          <w:spacing w:val="-4"/>
          <w:sz w:val="30"/>
          <w:szCs w:val="30"/>
        </w:rPr>
        <w:fldChar w:fldCharType="end"/>
      </w:r>
      <w:r>
        <w:rPr>
          <w:rFonts w:hint="eastAsia" w:ascii="宋体" w:hAnsi="宋体" w:cs="宋体"/>
          <w:b/>
          <w:sz w:val="30"/>
          <w:szCs w:val="30"/>
        </w:rPr>
        <w:t>2021年度部门决算公开报表</w:t>
      </w:r>
    </w:p>
    <w:p>
      <w:pPr>
        <w:pStyle w:val="6"/>
        <w:tabs>
          <w:tab w:val="right" w:leader="dot" w:pos="8336"/>
        </w:tabs>
        <w:spacing w:line="360" w:lineRule="auto"/>
        <w:ind w:firstLine="602" w:firstLineChars="200"/>
        <w:rPr>
          <w:rFonts w:ascii="宋体" w:hAnsi="宋体" w:cs="宋体"/>
          <w:b/>
          <w:sz w:val="30"/>
          <w:szCs w:val="30"/>
        </w:rPr>
      </w:pPr>
      <w:r>
        <w:rPr>
          <w:rFonts w:hint="eastAsia" w:ascii="宋体" w:hAnsi="宋体" w:cs="宋体"/>
          <w:b/>
          <w:sz w:val="30"/>
          <w:szCs w:val="30"/>
        </w:rPr>
        <w:t>三、2021年度部门决算情况说明</w:t>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（一）</w:t>
      </w:r>
      <w:r>
        <w:fldChar w:fldCharType="begin"/>
      </w:r>
      <w:r>
        <w:instrText xml:space="preserve"> HYPERLINK \l "_Toc8341" </w:instrText>
      </w:r>
      <w:r>
        <w:fldChar w:fldCharType="separate"/>
      </w:r>
      <w:r>
        <w:rPr>
          <w:rFonts w:hint="eastAsia" w:ascii="宋体" w:hAnsi="宋体" w:cs="宋体"/>
          <w:spacing w:val="-3"/>
          <w:sz w:val="30"/>
          <w:szCs w:val="30"/>
        </w:rPr>
        <w:t>收入支出决算总体情况说明</w:t>
      </w:r>
      <w:r>
        <w:rPr>
          <w:rFonts w:hint="eastAsia" w:ascii="宋体" w:hAnsi="宋体" w:cs="宋体"/>
          <w:spacing w:val="-3"/>
          <w:sz w:val="30"/>
          <w:szCs w:val="30"/>
        </w:rPr>
        <w:fldChar w:fldCharType="end"/>
      </w:r>
      <w:r>
        <w:rPr>
          <w:rFonts w:hint="eastAsia" w:ascii="宋体" w:hAnsi="宋体" w:cs="宋体"/>
          <w:sz w:val="30"/>
          <w:szCs w:val="30"/>
        </w:rPr>
        <w:t>。</w:t>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（二）</w:t>
      </w:r>
      <w:r>
        <w:fldChar w:fldCharType="begin"/>
      </w:r>
      <w:r>
        <w:instrText xml:space="preserve"> HYPERLINK \l "_Toc748" </w:instrText>
      </w:r>
      <w:r>
        <w:fldChar w:fldCharType="separate"/>
      </w:r>
      <w:r>
        <w:rPr>
          <w:rFonts w:hint="eastAsia" w:ascii="宋体" w:hAnsi="宋体" w:cs="宋体"/>
          <w:spacing w:val="-3"/>
          <w:sz w:val="30"/>
          <w:szCs w:val="30"/>
        </w:rPr>
        <w:t>收入决算情况说明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（三）</w:t>
      </w:r>
      <w:r>
        <w:fldChar w:fldCharType="begin"/>
      </w:r>
      <w:r>
        <w:instrText xml:space="preserve"> HYPERLINK \l "_Toc6782" </w:instrText>
      </w:r>
      <w:r>
        <w:fldChar w:fldCharType="separate"/>
      </w:r>
      <w:r>
        <w:rPr>
          <w:rFonts w:hint="eastAsia" w:ascii="宋体" w:hAnsi="宋体" w:cs="宋体"/>
          <w:spacing w:val="-3"/>
          <w:sz w:val="30"/>
          <w:szCs w:val="30"/>
        </w:rPr>
        <w:t>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（四）</w:t>
      </w:r>
      <w:r>
        <w:fldChar w:fldCharType="begin"/>
      </w:r>
      <w:r>
        <w:instrText xml:space="preserve"> HYPERLINK \l "_Toc14644" </w:instrText>
      </w:r>
      <w:r>
        <w:fldChar w:fldCharType="separate"/>
      </w:r>
      <w:r>
        <w:rPr>
          <w:rFonts w:hint="eastAsia" w:ascii="宋体" w:hAnsi="宋体" w:cs="宋体"/>
          <w:spacing w:val="-3"/>
          <w:sz w:val="30"/>
          <w:szCs w:val="30"/>
        </w:rPr>
        <w:t>财政拨款收入支出决算总体情况说明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（五）</w:t>
      </w:r>
      <w:r>
        <w:fldChar w:fldCharType="begin"/>
      </w:r>
      <w:r>
        <w:instrText xml:space="preserve"> HYPERLINK \l "_Toc2367" </w:instrText>
      </w:r>
      <w:r>
        <w:fldChar w:fldCharType="separate"/>
      </w:r>
      <w:r>
        <w:rPr>
          <w:rFonts w:hint="eastAsia" w:ascii="宋体" w:hAnsi="宋体" w:cs="宋体"/>
          <w:spacing w:val="-3"/>
          <w:sz w:val="30"/>
          <w:szCs w:val="30"/>
        </w:rPr>
        <w:t>一般公共预算财政拨款支出决算情况说明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（六）</w:t>
      </w:r>
      <w:r>
        <w:fldChar w:fldCharType="begin"/>
      </w:r>
      <w:r>
        <w:instrText xml:space="preserve"> HYPERLINK \l "_Toc16205" </w:instrText>
      </w:r>
      <w:r>
        <w:fldChar w:fldCharType="separate"/>
      </w:r>
      <w:r>
        <w:rPr>
          <w:rFonts w:hint="eastAsia" w:ascii="宋体" w:hAnsi="宋体" w:cs="宋体"/>
          <w:spacing w:val="-3"/>
          <w:sz w:val="30"/>
          <w:szCs w:val="30"/>
        </w:rPr>
        <w:t>一般公共预算财政拨款基本支出决算情况说明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（七）</w:t>
      </w:r>
      <w:r>
        <w:fldChar w:fldCharType="begin"/>
      </w:r>
      <w:r>
        <w:instrText xml:space="preserve"> HYPERLINK \l "_Toc27268" </w:instrText>
      </w:r>
      <w:r>
        <w:fldChar w:fldCharType="separate"/>
      </w:r>
      <w:r>
        <w:rPr>
          <w:rFonts w:hint="eastAsia" w:ascii="宋体" w:hAnsi="宋体" w:cs="宋体"/>
          <w:spacing w:val="-3"/>
          <w:sz w:val="30"/>
          <w:szCs w:val="30"/>
        </w:rPr>
        <w:t>一般公共预算财政拨款“三公”经费支出决算情况说明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（八）</w:t>
      </w:r>
      <w:r>
        <w:fldChar w:fldCharType="begin"/>
      </w:r>
      <w:r>
        <w:instrText xml:space="preserve"> HYPERLINK \l "_Toc233" </w:instrText>
      </w:r>
      <w:r>
        <w:fldChar w:fldCharType="separate"/>
      </w:r>
      <w:r>
        <w:rPr>
          <w:rFonts w:hint="eastAsia" w:ascii="宋体" w:hAnsi="宋体" w:cs="宋体"/>
          <w:spacing w:val="-3"/>
          <w:sz w:val="30"/>
          <w:szCs w:val="30"/>
        </w:rPr>
        <w:t>政府性基金预算收入支出决算情况说明</w:t>
      </w:r>
      <w:r>
        <w:rPr>
          <w:rFonts w:hint="eastAsia" w:ascii="宋体" w:hAnsi="宋体" w:cs="宋体"/>
          <w:sz w:val="30"/>
          <w:szCs w:val="30"/>
        </w:rPr>
        <w:t>。</w:t>
      </w:r>
      <w:r>
        <w:rPr>
          <w:rFonts w:hint="eastAsia" w:ascii="宋体" w:hAnsi="宋体" w:cs="宋体"/>
          <w:sz w:val="30"/>
          <w:szCs w:val="30"/>
        </w:rPr>
        <w:fldChar w:fldCharType="end"/>
      </w:r>
    </w:p>
    <w:p>
      <w:pPr>
        <w:pStyle w:val="7"/>
        <w:tabs>
          <w:tab w:val="right" w:leader="dot" w:pos="8336"/>
        </w:tabs>
        <w:spacing w:line="360" w:lineRule="auto"/>
        <w:ind w:left="420" w:firstLine="300" w:firstLineChars="100"/>
        <w:rPr>
          <w:rFonts w:ascii="宋体" w:hAnsi="宋体" w:cs="宋体"/>
          <w:sz w:val="30"/>
          <w:szCs w:val="30"/>
        </w:rPr>
      </w:pPr>
      <w:r>
        <w:rPr>
          <w:rFonts w:hint="eastAsia" w:ascii="宋体" w:hAnsi="宋体" w:cs="宋体"/>
          <w:sz w:val="30"/>
          <w:szCs w:val="30"/>
        </w:rPr>
        <w:t>（九）</w:t>
      </w:r>
      <w:r>
        <w:fldChar w:fldCharType="begin"/>
      </w:r>
      <w:r>
        <w:instrText xml:space="preserve"> HYPERLINK \l "_Toc13584" </w:instrText>
      </w:r>
      <w:r>
        <w:fldChar w:fldCharType="separate"/>
      </w:r>
      <w:r>
        <w:rPr>
          <w:rFonts w:hint="eastAsia" w:ascii="宋体" w:hAnsi="宋体" w:cs="宋体"/>
          <w:spacing w:val="-3"/>
          <w:sz w:val="30"/>
          <w:szCs w:val="30"/>
        </w:rPr>
        <w:t>其他重要事项的情况说明</w:t>
      </w:r>
      <w:r>
        <w:rPr>
          <w:rFonts w:hint="eastAsia" w:ascii="宋体" w:hAnsi="宋体" w:cs="宋体"/>
          <w:sz w:val="30"/>
          <w:szCs w:val="30"/>
        </w:rPr>
        <w:t>。</w:t>
      </w:r>
      <w:r>
        <w:rPr>
          <w:rFonts w:hint="eastAsia" w:ascii="宋体" w:hAnsi="宋体" w:cs="宋体"/>
          <w:sz w:val="30"/>
          <w:szCs w:val="30"/>
        </w:rPr>
        <w:fldChar w:fldCharType="end"/>
      </w:r>
    </w:p>
    <w:p>
      <w:pPr>
        <w:pStyle w:val="6"/>
        <w:tabs>
          <w:tab w:val="right" w:leader="dot" w:pos="8336"/>
        </w:tabs>
        <w:spacing w:line="360" w:lineRule="auto"/>
        <w:ind w:firstLine="300" w:firstLineChars="150"/>
        <w:rPr>
          <w:rFonts w:ascii="宋体" w:hAnsi="宋体" w:cs="宋体"/>
          <w:b/>
          <w:sz w:val="30"/>
          <w:szCs w:val="30"/>
        </w:rPr>
      </w:pPr>
      <w:r>
        <w:fldChar w:fldCharType="begin"/>
      </w:r>
      <w:r>
        <w:instrText xml:space="preserve"> HYPERLINK \l "_Toc13389" </w:instrText>
      </w:r>
      <w:r>
        <w:fldChar w:fldCharType="separate"/>
      </w:r>
      <w:r>
        <w:rPr>
          <w:rFonts w:hint="eastAsia" w:ascii="宋体" w:hAnsi="宋体" w:cs="宋体"/>
          <w:b/>
          <w:snapToGrid w:val="0"/>
          <w:spacing w:val="-4"/>
          <w:sz w:val="30"/>
          <w:szCs w:val="30"/>
        </w:rPr>
        <w:t>四、 名词解释</w:t>
      </w:r>
      <w:r>
        <w:rPr>
          <w:rFonts w:hint="eastAsia" w:ascii="宋体" w:hAnsi="宋体" w:cs="宋体"/>
          <w:b/>
          <w:snapToGrid w:val="0"/>
          <w:spacing w:val="-4"/>
          <w:sz w:val="30"/>
          <w:szCs w:val="30"/>
        </w:rPr>
        <w:fldChar w:fldCharType="end"/>
      </w:r>
    </w:p>
    <w:p>
      <w:pPr>
        <w:ind w:firstLine="3614" w:firstLineChars="1200"/>
        <w:rPr>
          <w:rFonts w:ascii="宋体" w:hAnsi="宋体" w:cs="宋体"/>
          <w:b/>
          <w:sz w:val="30"/>
          <w:szCs w:val="30"/>
        </w:rPr>
      </w:pPr>
    </w:p>
    <w:p>
      <w:pPr>
        <w:rPr>
          <w:rFonts w:ascii="宋体" w:hAnsi="宋体" w:cs="宋体"/>
          <w:b/>
          <w:sz w:val="30"/>
          <w:szCs w:val="30"/>
        </w:rPr>
      </w:pPr>
    </w:p>
    <w:p>
      <w:pPr>
        <w:ind w:firstLine="3744" w:firstLineChars="1200"/>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第一部分</w:t>
      </w:r>
      <w:r>
        <w:rPr>
          <w:rFonts w:ascii="黑体" w:hAnsi="黑体" w:eastAsia="黑体" w:cs="黑体"/>
          <w:snapToGrid w:val="0"/>
          <w:color w:val="000000"/>
          <w:spacing w:val="-4"/>
          <w:kern w:val="0"/>
          <w:sz w:val="32"/>
          <w:szCs w:val="32"/>
        </w:rPr>
        <w:t>概况</w:t>
      </w:r>
    </w:p>
    <w:p>
      <w:pPr>
        <w:numPr>
          <w:ilvl w:val="0"/>
          <w:numId w:val="1"/>
        </w:numPr>
        <w:rPr>
          <w:rFonts w:ascii="仿宋" w:hAnsi="仿宋" w:eastAsia="仿宋" w:cs="仿宋"/>
          <w:sz w:val="32"/>
          <w:szCs w:val="32"/>
        </w:rPr>
      </w:pPr>
      <w:r>
        <w:rPr>
          <w:rFonts w:hint="eastAsia" w:ascii="仿宋" w:hAnsi="仿宋" w:eastAsia="仿宋" w:cs="仿宋"/>
          <w:sz w:val="32"/>
          <w:szCs w:val="32"/>
        </w:rPr>
        <w:t>主要职能职责</w:t>
      </w:r>
    </w:p>
    <w:p>
      <w:pPr>
        <w:ind w:firstLine="640" w:firstLineChars="200"/>
        <w:rPr>
          <w:rFonts w:ascii="仿宋" w:hAnsi="仿宋" w:eastAsia="仿宋" w:cs="仿宋"/>
          <w:sz w:val="32"/>
          <w:szCs w:val="32"/>
        </w:rPr>
      </w:pPr>
      <w:r>
        <w:rPr>
          <w:rFonts w:hint="eastAsia" w:ascii="仿宋" w:hAnsi="仿宋" w:eastAsia="仿宋" w:cs="仿宋"/>
          <w:sz w:val="32"/>
          <w:szCs w:val="32"/>
        </w:rPr>
        <w:t>1、正确贯彻执行党和国家的教育方针、政策、法规。</w:t>
      </w:r>
    </w:p>
    <w:p>
      <w:pPr>
        <w:ind w:firstLine="640" w:firstLineChars="200"/>
        <w:rPr>
          <w:rFonts w:ascii="仿宋" w:hAnsi="仿宋" w:eastAsia="仿宋" w:cs="仿宋"/>
          <w:sz w:val="32"/>
          <w:szCs w:val="32"/>
        </w:rPr>
      </w:pPr>
      <w:r>
        <w:rPr>
          <w:rFonts w:hint="eastAsia" w:ascii="仿宋" w:hAnsi="仿宋" w:eastAsia="仿宋" w:cs="仿宋"/>
          <w:sz w:val="32"/>
          <w:szCs w:val="32"/>
        </w:rPr>
        <w:t>2、维护学校的教学秩序，为学生创造良好的学习环境。</w:t>
      </w:r>
    </w:p>
    <w:p>
      <w:pPr>
        <w:ind w:firstLine="640" w:firstLineChars="200"/>
        <w:rPr>
          <w:rFonts w:ascii="仿宋" w:hAnsi="仿宋" w:eastAsia="仿宋" w:cs="仿宋"/>
          <w:sz w:val="32"/>
          <w:szCs w:val="32"/>
        </w:rPr>
      </w:pPr>
      <w:r>
        <w:rPr>
          <w:rFonts w:hint="eastAsia" w:ascii="仿宋" w:hAnsi="仿宋" w:eastAsia="仿宋" w:cs="仿宋"/>
          <w:sz w:val="32"/>
          <w:szCs w:val="32"/>
        </w:rPr>
        <w:t>3、积极稳妥地推进教育改革，按教育规律办事，不断提高教育质量。</w:t>
      </w:r>
    </w:p>
    <w:p>
      <w:pPr>
        <w:ind w:firstLine="640" w:firstLineChars="200"/>
        <w:rPr>
          <w:rFonts w:ascii="仿宋" w:hAnsi="仿宋" w:eastAsia="仿宋" w:cs="仿宋"/>
          <w:sz w:val="32"/>
          <w:szCs w:val="32"/>
        </w:rPr>
      </w:pPr>
      <w:r>
        <w:rPr>
          <w:rFonts w:hint="eastAsia" w:ascii="仿宋" w:hAnsi="仿宋" w:eastAsia="仿宋" w:cs="仿宋"/>
          <w:sz w:val="32"/>
          <w:szCs w:val="32"/>
        </w:rPr>
        <w:t>4、根据学校规模，设置学校管理机构，建立健全各项规章制度和岗位责任制。</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5、坚持教书育人，服务育人，环境育人方针，加强对学生的思想品德教育，使学生的德智体全面发展。                             </w:t>
      </w:r>
    </w:p>
    <w:p>
      <w:pPr>
        <w:numPr>
          <w:ilvl w:val="0"/>
          <w:numId w:val="1"/>
        </w:numPr>
        <w:rPr>
          <w:rFonts w:ascii="仿宋" w:hAnsi="仿宋" w:eastAsia="仿宋" w:cs="仿宋"/>
          <w:sz w:val="32"/>
          <w:szCs w:val="32"/>
        </w:rPr>
      </w:pPr>
      <w:r>
        <w:rPr>
          <w:rFonts w:hint="eastAsia" w:ascii="仿宋" w:hAnsi="仿宋" w:eastAsia="仿宋" w:cs="仿宋"/>
          <w:sz w:val="32"/>
          <w:szCs w:val="32"/>
        </w:rPr>
        <w:t>部门机构设置</w:t>
      </w:r>
    </w:p>
    <w:p>
      <w:pPr>
        <w:pStyle w:val="3"/>
        <w:ind w:firstLine="640" w:firstLineChars="200"/>
        <w:rPr>
          <w:rFonts w:ascii="仿宋" w:hAnsi="仿宋" w:eastAsia="仿宋"/>
          <w:sz w:val="32"/>
          <w:szCs w:val="32"/>
        </w:rPr>
      </w:pPr>
      <w:r>
        <w:rPr>
          <w:rFonts w:hint="eastAsia" w:ascii="仿宋" w:hAnsi="仿宋" w:eastAsia="仿宋"/>
          <w:sz w:val="32"/>
          <w:szCs w:val="32"/>
        </w:rPr>
        <w:t>内设机构11个，每个科室设一位主管，若干干事，各司其职，开展日常工作。</w:t>
      </w:r>
    </w:p>
    <w:p>
      <w:pPr>
        <w:pStyle w:val="3"/>
        <w:ind w:firstLine="640" w:firstLineChars="200"/>
        <w:rPr>
          <w:rFonts w:ascii="仿宋" w:hAnsi="仿宋" w:eastAsia="仿宋"/>
          <w:sz w:val="32"/>
          <w:szCs w:val="32"/>
        </w:rPr>
      </w:pPr>
      <w:r>
        <w:rPr>
          <w:rFonts w:hint="eastAsia" w:ascii="仿宋" w:hAnsi="仿宋" w:eastAsia="仿宋"/>
          <w:sz w:val="32"/>
          <w:szCs w:val="32"/>
        </w:rPr>
        <w:t>办公室：在校长领导下，处理日常行政事务、协调各部门工作。</w:t>
      </w:r>
    </w:p>
    <w:p>
      <w:pPr>
        <w:pStyle w:val="3"/>
        <w:ind w:firstLine="640" w:firstLineChars="200"/>
        <w:rPr>
          <w:rFonts w:ascii="仿宋" w:hAnsi="仿宋" w:eastAsia="仿宋"/>
          <w:sz w:val="32"/>
          <w:szCs w:val="32"/>
        </w:rPr>
      </w:pPr>
      <w:r>
        <w:rPr>
          <w:rFonts w:hint="eastAsia" w:ascii="仿宋" w:hAnsi="仿宋" w:eastAsia="仿宋"/>
          <w:sz w:val="32"/>
          <w:szCs w:val="32"/>
        </w:rPr>
        <w:t>财务室：负责学校会计核算和财务日常收支业务，编制学校教育经费的预算和决算，分配和管理学校教育经费、公用经费，发放教职工工资、补助和福利待遇等。</w:t>
      </w:r>
    </w:p>
    <w:p>
      <w:pPr>
        <w:pStyle w:val="3"/>
        <w:ind w:firstLine="640" w:firstLineChars="200"/>
        <w:rPr>
          <w:rFonts w:ascii="仿宋" w:hAnsi="仿宋" w:eastAsia="仿宋"/>
          <w:sz w:val="32"/>
          <w:szCs w:val="32"/>
        </w:rPr>
      </w:pPr>
      <w:r>
        <w:rPr>
          <w:rFonts w:hint="eastAsia" w:ascii="仿宋" w:hAnsi="仿宋" w:eastAsia="仿宋"/>
          <w:sz w:val="32"/>
          <w:szCs w:val="32"/>
        </w:rPr>
        <w:t>党办：在党支部书记的领导下，全面负责完成学校党建工作。</w:t>
      </w:r>
    </w:p>
    <w:p>
      <w:pPr>
        <w:pStyle w:val="3"/>
        <w:ind w:firstLine="640" w:firstLineChars="200"/>
        <w:rPr>
          <w:rFonts w:ascii="仿宋" w:hAnsi="仿宋" w:eastAsia="仿宋"/>
          <w:sz w:val="32"/>
          <w:szCs w:val="32"/>
        </w:rPr>
      </w:pPr>
      <w:r>
        <w:rPr>
          <w:rFonts w:hint="eastAsia" w:ascii="仿宋" w:hAnsi="仿宋" w:eastAsia="仿宋"/>
          <w:sz w:val="32"/>
          <w:szCs w:val="32"/>
        </w:rPr>
        <w:t>工会：在学校党支部、校委会领导下，负责学校工会工作。</w:t>
      </w:r>
    </w:p>
    <w:p>
      <w:pPr>
        <w:pStyle w:val="3"/>
        <w:ind w:firstLine="640" w:firstLineChars="200"/>
        <w:rPr>
          <w:rFonts w:ascii="仿宋" w:hAnsi="仿宋" w:eastAsia="仿宋"/>
          <w:sz w:val="32"/>
          <w:szCs w:val="32"/>
        </w:rPr>
      </w:pPr>
      <w:r>
        <w:rPr>
          <w:rFonts w:hint="eastAsia" w:ascii="仿宋" w:hAnsi="仿宋" w:eastAsia="仿宋"/>
          <w:sz w:val="32"/>
          <w:szCs w:val="32"/>
        </w:rPr>
        <w:t>团委：在学校党支部、校委会领导下，负责群、团、队工作。</w:t>
      </w:r>
    </w:p>
    <w:p>
      <w:pPr>
        <w:pStyle w:val="3"/>
        <w:ind w:firstLine="640" w:firstLineChars="200"/>
        <w:rPr>
          <w:rFonts w:ascii="仿宋" w:hAnsi="仿宋" w:eastAsia="仿宋"/>
          <w:sz w:val="32"/>
          <w:szCs w:val="32"/>
        </w:rPr>
      </w:pPr>
      <w:r>
        <w:rPr>
          <w:rFonts w:hint="eastAsia" w:ascii="仿宋" w:hAnsi="仿宋" w:eastAsia="仿宋"/>
          <w:sz w:val="32"/>
          <w:szCs w:val="32"/>
        </w:rPr>
        <w:t>总务处：协助分管校长具体管理学校总务后勤工作。</w:t>
      </w:r>
    </w:p>
    <w:p>
      <w:pPr>
        <w:pStyle w:val="3"/>
        <w:ind w:firstLine="640" w:firstLineChars="200"/>
        <w:rPr>
          <w:rFonts w:ascii="仿宋" w:hAnsi="仿宋" w:eastAsia="仿宋"/>
          <w:sz w:val="32"/>
          <w:szCs w:val="32"/>
        </w:rPr>
      </w:pPr>
      <w:r>
        <w:rPr>
          <w:rFonts w:hint="eastAsia" w:ascii="仿宋" w:hAnsi="仿宋" w:eastAsia="仿宋"/>
          <w:sz w:val="32"/>
          <w:szCs w:val="32"/>
        </w:rPr>
        <w:t>教导处：协助分管校长进行教学指导、组织教学研究。</w:t>
      </w:r>
    </w:p>
    <w:p>
      <w:pPr>
        <w:pStyle w:val="3"/>
        <w:ind w:firstLine="640" w:firstLineChars="200"/>
        <w:rPr>
          <w:rFonts w:ascii="仿宋" w:hAnsi="仿宋" w:eastAsia="仿宋"/>
          <w:sz w:val="32"/>
          <w:szCs w:val="32"/>
        </w:rPr>
      </w:pPr>
      <w:r>
        <w:rPr>
          <w:rFonts w:hint="eastAsia" w:ascii="仿宋" w:hAnsi="仿宋" w:eastAsia="仿宋"/>
          <w:sz w:val="32"/>
          <w:szCs w:val="32"/>
        </w:rPr>
        <w:t>政教处：协助分管校长推进学校学生德育目标，带领班主任完成学校的各项德育工作任务。</w:t>
      </w:r>
    </w:p>
    <w:p>
      <w:pPr>
        <w:pStyle w:val="3"/>
        <w:ind w:firstLine="640" w:firstLineChars="200"/>
        <w:rPr>
          <w:rFonts w:ascii="仿宋" w:hAnsi="仿宋" w:eastAsia="仿宋"/>
          <w:sz w:val="32"/>
          <w:szCs w:val="32"/>
        </w:rPr>
      </w:pPr>
      <w:r>
        <w:rPr>
          <w:rFonts w:hint="eastAsia" w:ascii="仿宋" w:hAnsi="仿宋" w:eastAsia="仿宋"/>
          <w:sz w:val="32"/>
          <w:szCs w:val="32"/>
        </w:rPr>
        <w:t>教辅中心：协助主管校长提供电教信息、教学实验等技术保障。</w:t>
      </w:r>
    </w:p>
    <w:p>
      <w:pPr>
        <w:pStyle w:val="3"/>
        <w:ind w:firstLine="640" w:firstLineChars="200"/>
        <w:rPr>
          <w:rFonts w:ascii="仿宋" w:hAnsi="仿宋" w:eastAsia="仿宋"/>
          <w:sz w:val="32"/>
          <w:szCs w:val="32"/>
        </w:rPr>
      </w:pPr>
      <w:r>
        <w:rPr>
          <w:rFonts w:hint="eastAsia" w:ascii="仿宋" w:hAnsi="仿宋" w:eastAsia="仿宋"/>
          <w:sz w:val="32"/>
          <w:szCs w:val="32"/>
        </w:rPr>
        <w:t>宣传中心：配合学校各部门，宣传学校的各项政策、活动及上级的有关决议。</w:t>
      </w:r>
    </w:p>
    <w:p>
      <w:pPr>
        <w:pStyle w:val="3"/>
        <w:ind w:firstLine="640" w:firstLineChars="200"/>
        <w:rPr>
          <w:rFonts w:ascii="仿宋" w:hAnsi="仿宋" w:eastAsia="仿宋"/>
          <w:sz w:val="32"/>
          <w:szCs w:val="32"/>
        </w:rPr>
      </w:pPr>
      <w:r>
        <w:rPr>
          <w:rFonts w:hint="eastAsia" w:ascii="仿宋" w:hAnsi="仿宋" w:eastAsia="仿宋"/>
          <w:sz w:val="32"/>
          <w:szCs w:val="32"/>
        </w:rPr>
        <w:t>保卫科：协助分管校长负责校园安全、消防等工伤。</w:t>
      </w:r>
    </w:p>
    <w:p>
      <w:pPr>
        <w:pStyle w:val="8"/>
        <w:autoSpaceDN w:val="0"/>
        <w:spacing w:line="570" w:lineRule="exact"/>
        <w:ind w:left="142" w:firstLine="640"/>
        <w:textAlignment w:val="center"/>
        <w:rPr>
          <w:rFonts w:ascii="宋体" w:hAnsi="宋体" w:eastAsia="仿宋_GB2312" w:cs="Times New Roman"/>
          <w:sz w:val="32"/>
          <w:szCs w:val="32"/>
        </w:rPr>
      </w:pPr>
      <w:r>
        <w:rPr>
          <w:rFonts w:hint="eastAsia" w:ascii="宋体" w:hAnsi="宋体" w:eastAsia="仿宋_GB2312" w:cs="Times New Roman"/>
          <w:sz w:val="32"/>
          <w:szCs w:val="32"/>
        </w:rPr>
        <w:t xml:space="preserve">我单位为隶属于朔城区教育局管理的二级单位，无下属单位。                                               </w:t>
      </w:r>
    </w:p>
    <w:p>
      <w:pPr>
        <w:autoSpaceDN w:val="0"/>
        <w:spacing w:line="570" w:lineRule="exact"/>
        <w:ind w:firstLine="739" w:firstLineChars="231"/>
        <w:textAlignment w:val="center"/>
        <w:rPr>
          <w:rFonts w:ascii="宋体" w:hAnsi="宋体" w:eastAsia="仿宋_GB2312" w:cs="Times New Roman"/>
          <w:sz w:val="32"/>
          <w:szCs w:val="32"/>
        </w:rPr>
      </w:pPr>
      <w:r>
        <w:rPr>
          <w:rFonts w:hint="eastAsia" w:ascii="宋体" w:hAnsi="宋体" w:eastAsia="仿宋_GB2312" w:cs="Times New Roman"/>
          <w:sz w:val="32"/>
          <w:szCs w:val="32"/>
        </w:rPr>
        <w:t>从预算单位构成看，本次决算公开为本单位本级决算。</w:t>
      </w:r>
    </w:p>
    <w:p>
      <w:pPr>
        <w:jc w:val="center"/>
        <w:rPr>
          <w:rFonts w:ascii="黑体" w:hAnsi="黑体" w:eastAsia="黑体" w:cs="黑体"/>
          <w:snapToGrid w:val="0"/>
          <w:color w:val="000000"/>
          <w:spacing w:val="-4"/>
          <w:kern w:val="0"/>
          <w:sz w:val="32"/>
          <w:szCs w:val="32"/>
        </w:rPr>
      </w:pPr>
      <w:r>
        <w:rPr>
          <w:rFonts w:hint="eastAsia" w:ascii="黑体" w:hAnsi="黑体" w:eastAsia="黑体" w:cs="黑体"/>
          <w:snapToGrid w:val="0"/>
          <w:color w:val="000000"/>
          <w:spacing w:val="-4"/>
          <w:kern w:val="0"/>
          <w:sz w:val="32"/>
          <w:szCs w:val="32"/>
        </w:rPr>
        <w:t>第二部分2021</w:t>
      </w:r>
      <w:r>
        <w:rPr>
          <w:rFonts w:ascii="黑体" w:hAnsi="黑体" w:eastAsia="黑体" w:cs="黑体"/>
          <w:snapToGrid w:val="0"/>
          <w:color w:val="000000"/>
          <w:spacing w:val="-4"/>
          <w:kern w:val="0"/>
          <w:sz w:val="32"/>
          <w:szCs w:val="32"/>
        </w:rPr>
        <w:t>年度部门决算表</w:t>
      </w:r>
    </w:p>
    <w:p>
      <w:pPr>
        <w:rPr>
          <w:rFonts w:ascii="仿宋" w:hAnsi="仿宋" w:eastAsia="仿宋" w:cs="仿宋"/>
          <w:sz w:val="32"/>
          <w:szCs w:val="32"/>
        </w:rPr>
      </w:pPr>
      <w:r>
        <w:rPr>
          <w:rFonts w:hint="eastAsia" w:ascii="仿宋" w:hAnsi="仿宋" w:eastAsia="仿宋" w:cs="仿宋"/>
          <w:sz w:val="32"/>
          <w:szCs w:val="32"/>
        </w:rPr>
        <w:t>决算公开报表见附件：</w:t>
      </w:r>
    </w:p>
    <w:p>
      <w:pPr>
        <w:jc w:val="center"/>
        <w:rPr>
          <w:rFonts w:ascii="黑体" w:hAnsi="黑体" w:eastAsia="黑体" w:cs="黑体"/>
          <w:snapToGrid w:val="0"/>
          <w:color w:val="000000"/>
          <w:spacing w:val="-4"/>
          <w:kern w:val="0"/>
          <w:sz w:val="32"/>
          <w:szCs w:val="32"/>
        </w:rPr>
      </w:pPr>
      <w:r>
        <w:rPr>
          <w:rFonts w:ascii="黑体" w:hAnsi="黑体" w:eastAsia="黑体" w:cs="黑体"/>
          <w:snapToGrid w:val="0"/>
          <w:color w:val="000000"/>
          <w:spacing w:val="-4"/>
          <w:kern w:val="0"/>
          <w:sz w:val="32"/>
          <w:szCs w:val="32"/>
        </w:rPr>
        <w:t>第三部分</w:t>
      </w:r>
      <w:r>
        <w:rPr>
          <w:rFonts w:hint="eastAsia" w:ascii="黑体" w:hAnsi="黑体" w:eastAsia="黑体" w:cs="黑体"/>
          <w:snapToGrid w:val="0"/>
          <w:color w:val="000000"/>
          <w:spacing w:val="-4"/>
          <w:kern w:val="0"/>
          <w:sz w:val="32"/>
          <w:szCs w:val="32"/>
        </w:rPr>
        <w:t>2021</w:t>
      </w:r>
      <w:r>
        <w:rPr>
          <w:rFonts w:ascii="黑体" w:hAnsi="黑体" w:eastAsia="黑体" w:cs="黑体"/>
          <w:snapToGrid w:val="0"/>
          <w:color w:val="000000"/>
          <w:spacing w:val="-4"/>
          <w:kern w:val="0"/>
          <w:sz w:val="32"/>
          <w:szCs w:val="32"/>
        </w:rPr>
        <w:t>年度部门决算情况说明</w:t>
      </w:r>
    </w:p>
    <w:p>
      <w:pPr>
        <w:numPr>
          <w:ilvl w:val="0"/>
          <w:numId w:val="2"/>
        </w:numPr>
        <w:rPr>
          <w:rFonts w:ascii="仿宋" w:hAnsi="仿宋" w:eastAsia="仿宋" w:cs="仿宋"/>
          <w:sz w:val="32"/>
          <w:szCs w:val="32"/>
        </w:rPr>
      </w:pPr>
      <w:r>
        <w:rPr>
          <w:rFonts w:hint="eastAsia" w:ascii="楷体" w:hAnsi="楷体" w:eastAsia="楷体" w:cs="楷体"/>
          <w:spacing w:val="-3"/>
          <w:sz w:val="32"/>
          <w:szCs w:val="32"/>
        </w:rPr>
        <w:t>收入支出决算总体情况说明</w:t>
      </w:r>
    </w:p>
    <w:p>
      <w:pPr>
        <w:spacing w:line="204" w:lineRule="auto"/>
        <w:ind w:firstLine="667"/>
        <w:jc w:val="left"/>
        <w:rPr>
          <w:rFonts w:ascii="宋体" w:hAnsi="宋体" w:eastAsia="仿宋_GB2312" w:cs="Times New Roman"/>
          <w:sz w:val="32"/>
          <w:szCs w:val="32"/>
        </w:rPr>
      </w:pPr>
      <w:r>
        <w:rPr>
          <w:rFonts w:hint="eastAsia" w:ascii="宋体" w:hAnsi="宋体" w:eastAsia="仿宋_GB2312" w:cs="Times New Roman"/>
          <w:sz w:val="32"/>
          <w:szCs w:val="32"/>
        </w:rPr>
        <w:t>2021 年 度 收 入 总 计</w:t>
      </w:r>
      <w:r>
        <w:rPr>
          <w:rFonts w:ascii="宋体" w:hAnsi="宋体" w:eastAsia="仿宋_GB2312" w:cs="Times New Roman"/>
          <w:sz w:val="32"/>
          <w:szCs w:val="32"/>
        </w:rPr>
        <w:t>1185.64</w:t>
      </w:r>
      <w:r>
        <w:rPr>
          <w:rFonts w:hint="eastAsia" w:ascii="宋体" w:hAnsi="宋体" w:eastAsia="仿宋_GB2312" w:cs="Times New Roman"/>
          <w:sz w:val="32"/>
          <w:szCs w:val="32"/>
        </w:rPr>
        <w:t>万元 、 支 出 总 计</w:t>
      </w:r>
      <w:r>
        <w:rPr>
          <w:rFonts w:ascii="宋体" w:hAnsi="宋体" w:eastAsia="仿宋_GB2312" w:cs="Times New Roman"/>
          <w:sz w:val="32"/>
          <w:szCs w:val="32"/>
        </w:rPr>
        <w:t>1185.64</w:t>
      </w:r>
      <w:r>
        <w:rPr>
          <w:rFonts w:hint="eastAsia" w:ascii="宋体" w:hAnsi="宋体" w:eastAsia="仿宋_GB2312" w:cs="Times New Roman"/>
          <w:sz w:val="32"/>
          <w:szCs w:val="32"/>
        </w:rPr>
        <w:t>万元。与 2020年相比,收入总计减少</w:t>
      </w:r>
      <w:r>
        <w:rPr>
          <w:rFonts w:ascii="宋体" w:hAnsi="宋体" w:eastAsia="仿宋_GB2312" w:cs="Times New Roman"/>
          <w:sz w:val="32"/>
          <w:szCs w:val="32"/>
        </w:rPr>
        <w:t>250.98</w:t>
      </w:r>
      <w:r>
        <w:rPr>
          <w:rFonts w:hint="eastAsia" w:ascii="宋体" w:hAnsi="宋体" w:eastAsia="仿宋_GB2312" w:cs="Times New Roman"/>
          <w:sz w:val="32"/>
          <w:szCs w:val="32"/>
        </w:rPr>
        <w:t>万元，支出总计减少</w:t>
      </w:r>
      <w:r>
        <w:rPr>
          <w:rFonts w:ascii="仿宋" w:hAnsi="仿宋" w:eastAsia="仿宋" w:cs="仿宋"/>
          <w:spacing w:val="2"/>
          <w:sz w:val="32"/>
          <w:szCs w:val="32"/>
        </w:rPr>
        <w:t>250.98</w:t>
      </w:r>
      <w:r>
        <w:rPr>
          <w:rFonts w:hint="eastAsia" w:ascii="宋体" w:hAnsi="宋体" w:eastAsia="仿宋_GB2312" w:cs="Times New Roman"/>
          <w:sz w:val="32"/>
          <w:szCs w:val="32"/>
        </w:rPr>
        <w:t>万元。主要原因是：1是在编人员退休，减少工资福利支付。2是学生减少，公用经费支出相应减少。3是本年维修项目较少，维修资金减少。</w:t>
      </w:r>
    </w:p>
    <w:p>
      <w:pPr>
        <w:spacing w:line="204" w:lineRule="auto"/>
        <w:jc w:val="left"/>
        <w:rPr>
          <w:rFonts w:ascii="楷体" w:hAnsi="楷体" w:eastAsia="楷体" w:cs="楷体"/>
          <w:spacing w:val="-2"/>
          <w:sz w:val="32"/>
          <w:szCs w:val="32"/>
        </w:rPr>
      </w:pPr>
      <w:r>
        <w:rPr>
          <w:rFonts w:hint="eastAsia" w:ascii="楷体" w:hAnsi="楷体" w:eastAsia="楷体" w:cs="楷体"/>
          <w:spacing w:val="-3"/>
          <w:sz w:val="32"/>
          <w:szCs w:val="32"/>
        </w:rPr>
        <w:t>二、</w:t>
      </w:r>
      <w:r>
        <w:rPr>
          <w:rFonts w:ascii="楷体" w:hAnsi="楷体" w:eastAsia="楷体" w:cs="楷体"/>
          <w:spacing w:val="-3"/>
          <w:sz w:val="32"/>
          <w:szCs w:val="32"/>
        </w:rPr>
        <w:t>收入决算情况说明</w:t>
      </w:r>
    </w:p>
    <w:p>
      <w:pPr>
        <w:spacing w:line="204" w:lineRule="auto"/>
        <w:ind w:firstLine="667"/>
        <w:jc w:val="left"/>
        <w:rPr>
          <w:rFonts w:ascii="仿宋" w:hAnsi="仿宋" w:eastAsia="仿宋" w:cs="仿宋"/>
          <w:spacing w:val="-4"/>
          <w:sz w:val="32"/>
          <w:szCs w:val="32"/>
        </w:rPr>
      </w:pPr>
      <w:r>
        <w:rPr>
          <w:rFonts w:hint="eastAsia" w:ascii="宋体" w:hAnsi="宋体" w:eastAsia="仿宋_GB2312" w:cs="Times New Roman"/>
          <w:sz w:val="32"/>
          <w:szCs w:val="32"/>
        </w:rPr>
        <w:t>本年收入合计</w:t>
      </w:r>
      <w:r>
        <w:rPr>
          <w:rFonts w:ascii="仿宋" w:hAnsi="仿宋" w:eastAsia="仿宋" w:cs="仿宋"/>
          <w:sz w:val="32"/>
          <w:szCs w:val="32"/>
        </w:rPr>
        <w:t>1185.64</w:t>
      </w:r>
      <w:r>
        <w:rPr>
          <w:rFonts w:hint="eastAsia" w:ascii="宋体" w:hAnsi="宋体" w:eastAsia="仿宋_GB2312" w:cs="Times New Roman"/>
          <w:sz w:val="32"/>
          <w:szCs w:val="32"/>
        </w:rPr>
        <w:t>万元，其中：财政拨款收入</w:t>
      </w:r>
      <w:r>
        <w:rPr>
          <w:rFonts w:ascii="仿宋" w:hAnsi="仿宋" w:eastAsia="仿宋" w:cs="仿宋"/>
          <w:sz w:val="32"/>
          <w:szCs w:val="32"/>
        </w:rPr>
        <w:t>1185.64</w:t>
      </w:r>
      <w:r>
        <w:rPr>
          <w:rFonts w:hint="eastAsia" w:ascii="宋体" w:hAnsi="宋体" w:eastAsia="仿宋_GB2312" w:cs="Times New Roman"/>
          <w:sz w:val="32"/>
          <w:szCs w:val="32"/>
        </w:rPr>
        <w:t>万元;上级补助收入</w:t>
      </w:r>
      <w:r>
        <w:rPr>
          <w:rFonts w:ascii="宋体" w:hAnsi="宋体" w:eastAsia="仿宋_GB2312" w:cs="Times New Roman"/>
          <w:sz w:val="32"/>
          <w:szCs w:val="32"/>
        </w:rPr>
        <w:t>0</w:t>
      </w:r>
      <w:r>
        <w:rPr>
          <w:rFonts w:hint="eastAsia" w:ascii="宋体" w:hAnsi="宋体" w:eastAsia="仿宋_GB2312" w:cs="Times New Roman"/>
          <w:sz w:val="32"/>
          <w:szCs w:val="32"/>
        </w:rPr>
        <w:t>万元；事业收入</w:t>
      </w:r>
      <w:r>
        <w:rPr>
          <w:rFonts w:hint="eastAsia" w:ascii="宋体" w:hAnsi="宋体" w:eastAsia="仿宋_GB2312" w:cs="Times New Roman"/>
          <w:sz w:val="32"/>
          <w:szCs w:val="32"/>
          <w:lang w:val="en-US" w:eastAsia="zh-CN"/>
        </w:rPr>
        <w:t>0</w:t>
      </w:r>
      <w:r>
        <w:rPr>
          <w:rFonts w:hint="eastAsia" w:ascii="宋体" w:hAnsi="宋体" w:eastAsia="仿宋_GB2312" w:cs="Times New Roman"/>
          <w:sz w:val="32"/>
          <w:szCs w:val="32"/>
        </w:rPr>
        <w:t>万元；经营收入</w:t>
      </w:r>
      <w:r>
        <w:rPr>
          <w:rFonts w:ascii="宋体" w:hAnsi="宋体" w:eastAsia="仿宋_GB2312" w:cs="Times New Roman"/>
          <w:sz w:val="32"/>
          <w:szCs w:val="32"/>
        </w:rPr>
        <w:t>0</w:t>
      </w:r>
      <w:r>
        <w:rPr>
          <w:rFonts w:hint="eastAsia" w:ascii="宋体" w:hAnsi="宋体" w:eastAsia="仿宋_GB2312" w:cs="Times New Roman"/>
          <w:sz w:val="32"/>
          <w:szCs w:val="32"/>
        </w:rPr>
        <w:t xml:space="preserve">万元；附属单位上缴收入 </w:t>
      </w:r>
      <w:r>
        <w:rPr>
          <w:rFonts w:ascii="宋体" w:hAnsi="宋体" w:eastAsia="仿宋_GB2312" w:cs="Times New Roman"/>
          <w:sz w:val="32"/>
          <w:szCs w:val="32"/>
        </w:rPr>
        <w:t>0</w:t>
      </w:r>
      <w:r>
        <w:rPr>
          <w:rFonts w:hint="eastAsia" w:ascii="宋体" w:hAnsi="宋体" w:eastAsia="仿宋_GB2312" w:cs="Times New Roman"/>
          <w:sz w:val="32"/>
          <w:szCs w:val="32"/>
        </w:rPr>
        <w:t xml:space="preserve"> 万元；其他收入0万元。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三、支出决算情况说明</w:t>
      </w:r>
    </w:p>
    <w:p>
      <w:pPr>
        <w:ind w:firstLine="640" w:firstLineChars="200"/>
        <w:rPr>
          <w:rFonts w:ascii="仿宋" w:hAnsi="仿宋" w:eastAsia="仿宋" w:cs="仿宋"/>
          <w:sz w:val="32"/>
          <w:szCs w:val="32"/>
        </w:rPr>
      </w:pPr>
      <w:r>
        <w:rPr>
          <w:rFonts w:hint="eastAsia" w:ascii="宋体" w:hAnsi="宋体" w:eastAsia="仿宋_GB2312" w:cs="Times New Roman"/>
          <w:sz w:val="32"/>
          <w:szCs w:val="32"/>
        </w:rPr>
        <w:t>本年支出合计</w:t>
      </w:r>
      <w:r>
        <w:rPr>
          <w:rFonts w:ascii="仿宋" w:hAnsi="仿宋" w:eastAsia="仿宋" w:cs="仿宋"/>
          <w:sz w:val="32"/>
          <w:szCs w:val="32"/>
        </w:rPr>
        <w:t>1185.64</w:t>
      </w:r>
      <w:r>
        <w:rPr>
          <w:rFonts w:hint="eastAsia" w:ascii="宋体" w:hAnsi="宋体" w:eastAsia="仿宋_GB2312" w:cs="Times New Roman"/>
          <w:sz w:val="32"/>
          <w:szCs w:val="32"/>
        </w:rPr>
        <w:t>万元 ，其中：基本支出</w:t>
      </w:r>
      <w:r>
        <w:rPr>
          <w:rFonts w:ascii="仿宋" w:hAnsi="仿宋" w:eastAsia="仿宋" w:cs="仿宋"/>
          <w:sz w:val="32"/>
          <w:szCs w:val="32"/>
        </w:rPr>
        <w:t>920.99</w:t>
      </w:r>
      <w:r>
        <w:rPr>
          <w:rFonts w:hint="eastAsia" w:ascii="宋体" w:hAnsi="宋体" w:eastAsia="仿宋_GB2312" w:cs="Times New Roman"/>
          <w:sz w:val="32"/>
          <w:szCs w:val="32"/>
        </w:rPr>
        <w:t>万元 ；项目支出</w:t>
      </w:r>
      <w:r>
        <w:rPr>
          <w:rFonts w:ascii="仿宋" w:hAnsi="仿宋" w:eastAsia="仿宋" w:cs="仿宋"/>
          <w:sz w:val="32"/>
          <w:szCs w:val="32"/>
        </w:rPr>
        <w:t>264.65</w:t>
      </w:r>
      <w:r>
        <w:rPr>
          <w:rFonts w:hint="eastAsia" w:ascii="宋体" w:hAnsi="宋体" w:eastAsia="仿宋_GB2312" w:cs="Times New Roman"/>
          <w:sz w:val="32"/>
          <w:szCs w:val="32"/>
        </w:rPr>
        <w:t>万元；上缴上级支出</w:t>
      </w:r>
      <w:r>
        <w:rPr>
          <w:rFonts w:ascii="宋体" w:hAnsi="宋体" w:eastAsia="仿宋_GB2312" w:cs="Times New Roman"/>
          <w:sz w:val="32"/>
          <w:szCs w:val="32"/>
        </w:rPr>
        <w:t>0</w:t>
      </w:r>
      <w:r>
        <w:rPr>
          <w:rFonts w:hint="eastAsia" w:ascii="宋体" w:hAnsi="宋体" w:eastAsia="仿宋_GB2312" w:cs="Times New Roman"/>
          <w:sz w:val="32"/>
          <w:szCs w:val="32"/>
        </w:rPr>
        <w:t>万元，经营支出</w:t>
      </w:r>
      <w:r>
        <w:rPr>
          <w:rFonts w:ascii="宋体" w:hAnsi="宋体" w:eastAsia="仿宋_GB2312" w:cs="Times New Roman"/>
          <w:sz w:val="32"/>
          <w:szCs w:val="32"/>
        </w:rPr>
        <w:t>0</w:t>
      </w:r>
      <w:r>
        <w:rPr>
          <w:rFonts w:hint="eastAsia" w:ascii="宋体" w:hAnsi="宋体" w:eastAsia="仿宋_GB2312" w:cs="Times New Roman"/>
          <w:sz w:val="32"/>
          <w:szCs w:val="32"/>
        </w:rPr>
        <w:t>万元；对附属单位补助支出</w:t>
      </w:r>
      <w:r>
        <w:rPr>
          <w:rFonts w:ascii="宋体" w:hAnsi="宋体" w:eastAsia="仿宋_GB2312" w:cs="Times New Roman"/>
          <w:sz w:val="32"/>
          <w:szCs w:val="32"/>
        </w:rPr>
        <w:t>0</w:t>
      </w:r>
      <w:r>
        <w:rPr>
          <w:rFonts w:hint="eastAsia" w:ascii="宋体" w:hAnsi="宋体" w:eastAsia="仿宋_GB2312" w:cs="Times New Roman"/>
          <w:sz w:val="32"/>
          <w:szCs w:val="32"/>
        </w:rPr>
        <w:t>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四、财政拨款收入支出决算总体情况说明</w:t>
      </w:r>
    </w:p>
    <w:p>
      <w:pPr>
        <w:spacing w:line="204" w:lineRule="auto"/>
        <w:ind w:firstLine="667"/>
        <w:jc w:val="left"/>
        <w:rPr>
          <w:rFonts w:ascii="宋体" w:hAnsi="宋体" w:eastAsia="仿宋_GB2312" w:cs="Times New Roman"/>
          <w:sz w:val="32"/>
          <w:szCs w:val="32"/>
        </w:rPr>
      </w:pPr>
      <w:r>
        <w:rPr>
          <w:rFonts w:hint="eastAsia" w:ascii="宋体" w:hAnsi="宋体" w:eastAsia="仿宋_GB2312" w:cs="Times New Roman"/>
          <w:sz w:val="32"/>
          <w:szCs w:val="32"/>
        </w:rPr>
        <w:t>2021 年度财政拨款收入总计</w:t>
      </w:r>
      <w:r>
        <w:rPr>
          <w:rFonts w:ascii="仿宋" w:hAnsi="仿宋" w:eastAsia="仿宋" w:cs="仿宋"/>
          <w:sz w:val="32"/>
          <w:szCs w:val="32"/>
        </w:rPr>
        <w:t>1185.64</w:t>
      </w:r>
      <w:r>
        <w:rPr>
          <w:rFonts w:hint="eastAsia" w:ascii="宋体" w:hAnsi="宋体" w:eastAsia="仿宋_GB2312" w:cs="Times New Roman"/>
          <w:sz w:val="32"/>
          <w:szCs w:val="32"/>
        </w:rPr>
        <w:t>万元、支出总计</w:t>
      </w:r>
      <w:r>
        <w:rPr>
          <w:rFonts w:ascii="宋体" w:hAnsi="宋体" w:eastAsia="仿宋_GB2312" w:cs="Times New Roman"/>
          <w:sz w:val="32"/>
          <w:szCs w:val="32"/>
        </w:rPr>
        <w:t>1185.64</w:t>
      </w:r>
      <w:r>
        <w:rPr>
          <w:rFonts w:hint="eastAsia" w:ascii="宋体" w:hAnsi="宋体" w:eastAsia="仿宋_GB2312" w:cs="Times New Roman"/>
          <w:sz w:val="32"/>
          <w:szCs w:val="32"/>
        </w:rPr>
        <w:t>万元。与 2020 年相比，财政拨款收入总计减少</w:t>
      </w:r>
      <w:r>
        <w:rPr>
          <w:rFonts w:ascii="仿宋" w:hAnsi="仿宋" w:eastAsia="仿宋" w:cs="仿宋"/>
          <w:spacing w:val="2"/>
          <w:sz w:val="32"/>
          <w:szCs w:val="32"/>
        </w:rPr>
        <w:t>250.98</w:t>
      </w:r>
      <w:r>
        <w:rPr>
          <w:rFonts w:hint="eastAsia" w:ascii="宋体" w:hAnsi="宋体" w:eastAsia="仿宋_GB2312" w:cs="Times New Roman"/>
          <w:sz w:val="32"/>
          <w:szCs w:val="32"/>
        </w:rPr>
        <w:t>万元，降低</w:t>
      </w:r>
      <w:r>
        <w:rPr>
          <w:rFonts w:ascii="宋体" w:hAnsi="宋体" w:eastAsia="仿宋_GB2312" w:cs="Times New Roman"/>
          <w:sz w:val="32"/>
          <w:szCs w:val="32"/>
        </w:rPr>
        <w:t>17.47</w:t>
      </w:r>
      <w:r>
        <w:rPr>
          <w:rFonts w:hint="eastAsia" w:ascii="宋体" w:hAnsi="宋体" w:eastAsia="仿宋_GB2312" w:cs="Times New Roman"/>
          <w:sz w:val="32"/>
          <w:szCs w:val="32"/>
        </w:rPr>
        <w:t xml:space="preserve">%。主要原因是：1是在编人员退休，减少工资福利支付。2是学生减少，公用经费支出相应减少。3是本年维修项目较少，维修资金减少。 </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五、一般公共预算财政拨款支出决算情况说明</w:t>
      </w:r>
    </w:p>
    <w:p>
      <w:pPr>
        <w:rPr>
          <w:rFonts w:ascii="宋体" w:hAnsi="宋体" w:eastAsia="仿宋_GB2312" w:cs="Times New Roman"/>
          <w:sz w:val="32"/>
          <w:szCs w:val="32"/>
        </w:rPr>
      </w:pPr>
      <w:r>
        <w:rPr>
          <w:rFonts w:hint="eastAsia" w:ascii="宋体" w:hAnsi="宋体" w:eastAsia="仿宋_GB2312" w:cs="Times New Roman"/>
          <w:sz w:val="32"/>
          <w:szCs w:val="32"/>
        </w:rPr>
        <w:t>1.财政拨款支出决算总体情况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2021 年度财政拨款支出</w:t>
      </w:r>
      <w:r>
        <w:rPr>
          <w:rFonts w:ascii="仿宋" w:hAnsi="仿宋" w:eastAsia="仿宋" w:cs="仿宋"/>
          <w:sz w:val="32"/>
          <w:szCs w:val="32"/>
        </w:rPr>
        <w:t>1185.64</w:t>
      </w:r>
      <w:r>
        <w:rPr>
          <w:rFonts w:hint="eastAsia" w:ascii="宋体" w:hAnsi="宋体" w:eastAsia="仿宋_GB2312" w:cs="Times New Roman"/>
          <w:sz w:val="32"/>
          <w:szCs w:val="32"/>
        </w:rPr>
        <w:t>万元，与 2020 年相比，财政拨款支出减少</w:t>
      </w:r>
      <w:r>
        <w:rPr>
          <w:rFonts w:hint="eastAsia" w:ascii="仿宋" w:hAnsi="仿宋" w:eastAsia="仿宋" w:cs="仿宋"/>
          <w:spacing w:val="2"/>
          <w:sz w:val="32"/>
          <w:szCs w:val="32"/>
          <w:lang w:val="en-US" w:eastAsia="zh-CN"/>
        </w:rPr>
        <w:t>247.88</w:t>
      </w:r>
      <w:r>
        <w:rPr>
          <w:rFonts w:hint="eastAsia" w:ascii="宋体" w:hAnsi="宋体" w:eastAsia="仿宋_GB2312" w:cs="Times New Roman"/>
          <w:sz w:val="32"/>
          <w:szCs w:val="32"/>
        </w:rPr>
        <w:t xml:space="preserve">万元。主要原因是：1是在编人员退休，减少工资福利支付。2是学生减少，公用经费支出相应减少。3是本年维修项目较少，维修资金减少。 </w:t>
      </w:r>
    </w:p>
    <w:p>
      <w:pPr>
        <w:rPr>
          <w:rFonts w:ascii="宋体" w:hAnsi="宋体" w:eastAsia="仿宋_GB2312" w:cs="Times New Roman"/>
          <w:sz w:val="32"/>
          <w:szCs w:val="32"/>
        </w:rPr>
      </w:pPr>
      <w:r>
        <w:rPr>
          <w:rFonts w:hint="eastAsia" w:ascii="宋体" w:hAnsi="宋体" w:eastAsia="仿宋_GB2312" w:cs="Times New Roman"/>
          <w:sz w:val="32"/>
          <w:szCs w:val="32"/>
        </w:rPr>
        <w:t>2.财政拨款支出决算结构情况</w:t>
      </w:r>
    </w:p>
    <w:p>
      <w:pPr>
        <w:spacing w:line="360" w:lineRule="auto"/>
        <w:ind w:firstLine="640" w:firstLineChars="200"/>
        <w:rPr>
          <w:rFonts w:ascii="仿宋" w:hAnsi="仿宋" w:eastAsia="仿宋" w:cs="仿宋"/>
          <w:sz w:val="32"/>
          <w:szCs w:val="32"/>
        </w:rPr>
      </w:pPr>
      <w:r>
        <w:rPr>
          <w:rFonts w:hint="eastAsia" w:ascii="宋体" w:hAnsi="宋体" w:eastAsia="仿宋_GB2312" w:cs="Times New Roman"/>
          <w:sz w:val="32"/>
          <w:szCs w:val="32"/>
        </w:rPr>
        <w:t>2021 年度财政拨款支出</w:t>
      </w:r>
      <w:r>
        <w:rPr>
          <w:rFonts w:ascii="仿宋" w:hAnsi="仿宋" w:eastAsia="仿宋" w:cs="仿宋"/>
          <w:sz w:val="32"/>
          <w:szCs w:val="32"/>
        </w:rPr>
        <w:t>1185.64</w:t>
      </w:r>
      <w:r>
        <w:rPr>
          <w:rFonts w:hint="eastAsia" w:ascii="宋体" w:hAnsi="宋体" w:eastAsia="仿宋_GB2312" w:cs="Times New Roman"/>
          <w:sz w:val="32"/>
          <w:szCs w:val="32"/>
        </w:rPr>
        <w:t>万元，主要用于以下方面：</w:t>
      </w:r>
      <w:r>
        <w:rPr>
          <w:rFonts w:hint="eastAsia" w:ascii="宋体" w:hAnsi="宋体" w:eastAsia="仿宋_GB2312" w:cs="Times New Roman"/>
          <w:sz w:val="32"/>
          <w:szCs w:val="32"/>
          <w:lang w:val="en-US" w:eastAsia="zh-CN"/>
        </w:rPr>
        <w:t>2050201</w:t>
      </w:r>
      <w:r>
        <w:rPr>
          <w:rFonts w:hint="eastAsia" w:ascii="宋体" w:hAnsi="宋体" w:eastAsia="仿宋_GB2312" w:cs="Times New Roman"/>
          <w:sz w:val="32"/>
          <w:szCs w:val="32"/>
        </w:rPr>
        <w:t>学前教育支出</w:t>
      </w:r>
      <w:r>
        <w:rPr>
          <w:rFonts w:ascii="宋体" w:hAnsi="宋体" w:eastAsia="仿宋_GB2312" w:cs="Times New Roman"/>
          <w:sz w:val="32"/>
          <w:szCs w:val="32"/>
        </w:rPr>
        <w:t>29.83</w:t>
      </w:r>
      <w:r>
        <w:rPr>
          <w:rFonts w:hint="eastAsia" w:ascii="宋体" w:hAnsi="宋体" w:eastAsia="仿宋_GB2312" w:cs="Times New Roman"/>
          <w:sz w:val="32"/>
          <w:szCs w:val="32"/>
        </w:rPr>
        <w:t>万元，占</w:t>
      </w:r>
      <w:r>
        <w:rPr>
          <w:rFonts w:ascii="宋体" w:hAnsi="宋体" w:eastAsia="仿宋_GB2312" w:cs="Times New Roman"/>
          <w:sz w:val="32"/>
          <w:szCs w:val="32"/>
        </w:rPr>
        <w:t>2.52</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2050202</w:t>
      </w:r>
      <w:r>
        <w:rPr>
          <w:rFonts w:hint="eastAsia" w:ascii="宋体" w:hAnsi="宋体" w:eastAsia="仿宋_GB2312" w:cs="Times New Roman"/>
          <w:sz w:val="32"/>
          <w:szCs w:val="32"/>
        </w:rPr>
        <w:t>小学教育支出</w:t>
      </w:r>
      <w:r>
        <w:rPr>
          <w:rFonts w:ascii="宋体" w:hAnsi="宋体" w:eastAsia="仿宋_GB2312" w:cs="Times New Roman"/>
          <w:sz w:val="32"/>
          <w:szCs w:val="32"/>
        </w:rPr>
        <w:t>1107.06</w:t>
      </w:r>
      <w:r>
        <w:rPr>
          <w:rFonts w:hint="eastAsia" w:ascii="宋体" w:hAnsi="宋体" w:eastAsia="仿宋_GB2312" w:cs="Times New Roman"/>
          <w:sz w:val="32"/>
          <w:szCs w:val="32"/>
        </w:rPr>
        <w:t>万元，占</w:t>
      </w:r>
      <w:r>
        <w:rPr>
          <w:rFonts w:ascii="宋体" w:hAnsi="宋体" w:eastAsia="仿宋_GB2312" w:cs="Times New Roman"/>
          <w:sz w:val="32"/>
          <w:szCs w:val="32"/>
        </w:rPr>
        <w:t>93.36</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2050299</w:t>
      </w:r>
      <w:r>
        <w:rPr>
          <w:rFonts w:hint="eastAsia" w:ascii="宋体" w:hAnsi="宋体" w:eastAsia="仿宋_GB2312" w:cs="Times New Roman"/>
          <w:sz w:val="32"/>
          <w:szCs w:val="32"/>
        </w:rPr>
        <w:t>其他普通教育支出</w:t>
      </w:r>
      <w:r>
        <w:rPr>
          <w:rFonts w:ascii="宋体" w:hAnsi="宋体" w:eastAsia="仿宋_GB2312" w:cs="Times New Roman"/>
          <w:sz w:val="32"/>
          <w:szCs w:val="32"/>
        </w:rPr>
        <w:t>6</w:t>
      </w:r>
      <w:r>
        <w:rPr>
          <w:rFonts w:hint="eastAsia" w:ascii="宋体" w:hAnsi="宋体" w:eastAsia="仿宋_GB2312" w:cs="Times New Roman"/>
          <w:sz w:val="32"/>
          <w:szCs w:val="32"/>
        </w:rPr>
        <w:t>万元，占</w:t>
      </w:r>
      <w:r>
        <w:rPr>
          <w:rFonts w:ascii="宋体" w:hAnsi="宋体" w:eastAsia="仿宋_GB2312" w:cs="Times New Roman"/>
          <w:sz w:val="32"/>
          <w:szCs w:val="32"/>
        </w:rPr>
        <w:t>0.51</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2069999</w:t>
      </w:r>
      <w:r>
        <w:rPr>
          <w:rFonts w:hint="eastAsia" w:ascii="宋体" w:hAnsi="宋体" w:eastAsia="仿宋_GB2312" w:cs="Times New Roman"/>
          <w:sz w:val="32"/>
          <w:szCs w:val="32"/>
        </w:rPr>
        <w:t>其他科学技术支出</w:t>
      </w:r>
      <w:r>
        <w:rPr>
          <w:rFonts w:ascii="宋体" w:hAnsi="宋体" w:eastAsia="仿宋_GB2312" w:cs="Times New Roman"/>
          <w:sz w:val="32"/>
          <w:szCs w:val="32"/>
        </w:rPr>
        <w:t>0.2</w:t>
      </w:r>
      <w:r>
        <w:rPr>
          <w:rFonts w:hint="eastAsia" w:ascii="宋体" w:hAnsi="宋体" w:eastAsia="仿宋_GB2312" w:cs="Times New Roman"/>
          <w:sz w:val="32"/>
          <w:szCs w:val="32"/>
        </w:rPr>
        <w:t>万元，占</w:t>
      </w:r>
      <w:r>
        <w:rPr>
          <w:rFonts w:ascii="宋体" w:hAnsi="宋体" w:eastAsia="仿宋_GB2312" w:cs="Times New Roman"/>
          <w:sz w:val="32"/>
          <w:szCs w:val="32"/>
        </w:rPr>
        <w:t>0.02</w:t>
      </w:r>
      <w:r>
        <w:rPr>
          <w:rFonts w:hint="eastAsia" w:ascii="宋体" w:hAnsi="宋体" w:eastAsia="仿宋_GB2312" w:cs="Times New Roman"/>
          <w:sz w:val="32"/>
          <w:szCs w:val="32"/>
        </w:rPr>
        <w:t>%；</w:t>
      </w:r>
      <w:r>
        <w:rPr>
          <w:rFonts w:hint="eastAsia" w:ascii="宋体" w:hAnsi="宋体" w:eastAsia="仿宋_GB2312" w:cs="Times New Roman"/>
          <w:sz w:val="32"/>
          <w:szCs w:val="32"/>
          <w:lang w:val="en-US" w:eastAsia="zh-CN"/>
        </w:rPr>
        <w:t>2080801</w:t>
      </w:r>
      <w:r>
        <w:rPr>
          <w:rFonts w:hint="eastAsia" w:ascii="宋体" w:hAnsi="宋体" w:eastAsia="仿宋_GB2312" w:cs="Times New Roman"/>
          <w:sz w:val="32"/>
          <w:szCs w:val="32"/>
        </w:rPr>
        <w:t>死亡抚恤支出</w:t>
      </w:r>
      <w:r>
        <w:rPr>
          <w:rFonts w:ascii="宋体" w:hAnsi="宋体" w:eastAsia="仿宋_GB2312" w:cs="Times New Roman"/>
          <w:sz w:val="32"/>
          <w:szCs w:val="32"/>
        </w:rPr>
        <w:t>42.55</w:t>
      </w:r>
      <w:r>
        <w:rPr>
          <w:rFonts w:hint="eastAsia" w:ascii="宋体" w:hAnsi="宋体" w:eastAsia="仿宋_GB2312" w:cs="Times New Roman"/>
          <w:sz w:val="32"/>
          <w:szCs w:val="32"/>
        </w:rPr>
        <w:t>万元，占</w:t>
      </w:r>
      <w:r>
        <w:rPr>
          <w:rFonts w:ascii="宋体" w:hAnsi="宋体" w:eastAsia="仿宋_GB2312" w:cs="Times New Roman"/>
          <w:sz w:val="32"/>
          <w:szCs w:val="32"/>
        </w:rPr>
        <w:t>3.59</w:t>
      </w:r>
      <w:r>
        <w:rPr>
          <w:rFonts w:hint="eastAsia" w:ascii="宋体" w:hAnsi="宋体" w:eastAsia="仿宋_GB2312" w:cs="Times New Roman"/>
          <w:sz w:val="32"/>
          <w:szCs w:val="32"/>
        </w:rPr>
        <w:t>%。</w:t>
      </w:r>
    </w:p>
    <w:p>
      <w:pPr>
        <w:rPr>
          <w:rFonts w:ascii="宋体" w:hAnsi="宋体" w:eastAsia="仿宋_GB2312" w:cs="Times New Roman"/>
          <w:sz w:val="32"/>
          <w:szCs w:val="32"/>
        </w:rPr>
      </w:pPr>
      <w:r>
        <w:rPr>
          <w:rFonts w:hint="eastAsia" w:ascii="宋体" w:hAnsi="宋体" w:eastAsia="仿宋_GB2312" w:cs="Times New Roman"/>
          <w:sz w:val="32"/>
          <w:szCs w:val="32"/>
        </w:rPr>
        <w:t>3.一般公共预算财政拨款支出决算具体情况。</w:t>
      </w:r>
    </w:p>
    <w:p>
      <w:pPr>
        <w:ind w:firstLine="640" w:firstLineChars="200"/>
        <w:rPr>
          <w:rFonts w:ascii="仿宋" w:hAnsi="仿宋" w:eastAsia="仿宋" w:cs="仿宋"/>
          <w:spacing w:val="4"/>
          <w:sz w:val="32"/>
          <w:szCs w:val="32"/>
        </w:rPr>
      </w:pPr>
      <w:r>
        <w:rPr>
          <w:rFonts w:hint="eastAsia" w:ascii="宋体" w:hAnsi="宋体" w:eastAsia="仿宋_GB2312" w:cs="Times New Roman"/>
          <w:sz w:val="32"/>
          <w:szCs w:val="32"/>
        </w:rPr>
        <w:t>2021年度一般公共预算财政拨款支出当年调整预算数</w:t>
      </w:r>
      <w:r>
        <w:rPr>
          <w:rFonts w:ascii="宋体" w:hAnsi="宋体" w:eastAsia="仿宋_GB2312" w:cs="Times New Roman"/>
          <w:sz w:val="32"/>
          <w:szCs w:val="32"/>
        </w:rPr>
        <w:t>1185.64</w:t>
      </w:r>
      <w:r>
        <w:rPr>
          <w:rFonts w:hint="eastAsia" w:ascii="宋体" w:hAnsi="宋体" w:eastAsia="仿宋_GB2312" w:cs="Times New Roman"/>
          <w:sz w:val="32"/>
          <w:szCs w:val="32"/>
        </w:rPr>
        <w:t>万元，支出决算为</w:t>
      </w:r>
      <w:r>
        <w:rPr>
          <w:rFonts w:ascii="仿宋" w:hAnsi="仿宋" w:eastAsia="仿宋" w:cs="仿宋"/>
          <w:sz w:val="32"/>
          <w:szCs w:val="32"/>
        </w:rPr>
        <w:t>1185.64</w:t>
      </w:r>
      <w:r>
        <w:rPr>
          <w:rFonts w:hint="eastAsia" w:ascii="宋体" w:hAnsi="宋体" w:eastAsia="仿宋_GB2312" w:cs="Times New Roman"/>
          <w:sz w:val="32"/>
          <w:szCs w:val="32"/>
        </w:rPr>
        <w:t>万元，完成当年调整预算的</w:t>
      </w:r>
      <w:r>
        <w:rPr>
          <w:rFonts w:ascii="宋体" w:hAnsi="宋体" w:eastAsia="仿宋_GB2312" w:cs="Times New Roman"/>
          <w:sz w:val="32"/>
          <w:szCs w:val="32"/>
        </w:rPr>
        <w:t>100</w:t>
      </w:r>
      <w:r>
        <w:rPr>
          <w:rFonts w:hint="eastAsia" w:ascii="宋体" w:hAnsi="宋体" w:eastAsia="仿宋_GB2312" w:cs="Times New Roman"/>
          <w:sz w:val="32"/>
          <w:szCs w:val="32"/>
        </w:rPr>
        <w:t>%。</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六、一般公共预算财政拨款基本支出决算情况说明</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2021 年度财政拨款基本支出</w:t>
      </w:r>
      <w:r>
        <w:rPr>
          <w:rFonts w:ascii="仿宋" w:hAnsi="仿宋" w:eastAsia="仿宋" w:cs="仿宋"/>
          <w:spacing w:val="4"/>
          <w:sz w:val="32"/>
          <w:szCs w:val="32"/>
        </w:rPr>
        <w:t>920.99</w:t>
      </w:r>
      <w:r>
        <w:rPr>
          <w:rFonts w:hint="eastAsia" w:ascii="宋体" w:hAnsi="宋体" w:eastAsia="仿宋_GB2312" w:cs="Times New Roman"/>
          <w:sz w:val="32"/>
          <w:szCs w:val="32"/>
        </w:rPr>
        <w:t>万元，其中：人员经费</w:t>
      </w:r>
      <w:r>
        <w:rPr>
          <w:rFonts w:ascii="仿宋" w:hAnsi="仿宋" w:eastAsia="仿宋" w:cs="仿宋"/>
          <w:spacing w:val="4"/>
          <w:sz w:val="32"/>
          <w:szCs w:val="32"/>
        </w:rPr>
        <w:t>869.18</w:t>
      </w:r>
      <w:r>
        <w:rPr>
          <w:rFonts w:hint="eastAsia" w:ascii="宋体" w:hAnsi="宋体" w:eastAsia="仿宋_GB2312" w:cs="Times New Roman"/>
          <w:sz w:val="32"/>
          <w:szCs w:val="32"/>
        </w:rPr>
        <w:t>万元，主要包括工资福利支出</w:t>
      </w:r>
      <w:r>
        <w:rPr>
          <w:rFonts w:ascii="仿宋" w:hAnsi="仿宋" w:eastAsia="仿宋" w:cs="仿宋"/>
          <w:spacing w:val="4"/>
          <w:sz w:val="32"/>
          <w:szCs w:val="32"/>
        </w:rPr>
        <w:t>796.79</w:t>
      </w:r>
      <w:r>
        <w:rPr>
          <w:rFonts w:hint="eastAsia" w:ascii="宋体" w:hAnsi="宋体" w:eastAsia="仿宋_GB2312" w:cs="Times New Roman"/>
          <w:sz w:val="32"/>
          <w:szCs w:val="32"/>
        </w:rPr>
        <w:t>万元和对个人和家庭的补助</w:t>
      </w:r>
      <w:r>
        <w:rPr>
          <w:rFonts w:ascii="仿宋" w:hAnsi="仿宋" w:eastAsia="仿宋" w:cs="仿宋"/>
          <w:spacing w:val="4"/>
          <w:sz w:val="32"/>
          <w:szCs w:val="32"/>
        </w:rPr>
        <w:t>72.39</w:t>
      </w:r>
      <w:r>
        <w:rPr>
          <w:rFonts w:hint="eastAsia" w:ascii="宋体" w:hAnsi="宋体" w:eastAsia="仿宋_GB2312" w:cs="Times New Roman"/>
          <w:sz w:val="32"/>
          <w:szCs w:val="32"/>
        </w:rPr>
        <w:t>万元；公用经费</w:t>
      </w:r>
      <w:r>
        <w:rPr>
          <w:rFonts w:ascii="仿宋" w:hAnsi="仿宋" w:eastAsia="仿宋" w:cs="仿宋"/>
          <w:spacing w:val="4"/>
          <w:sz w:val="32"/>
          <w:szCs w:val="32"/>
        </w:rPr>
        <w:t>51.81</w:t>
      </w:r>
      <w:r>
        <w:rPr>
          <w:rFonts w:hint="eastAsia" w:ascii="宋体" w:hAnsi="宋体" w:eastAsia="仿宋_GB2312" w:cs="Times New Roman"/>
          <w:sz w:val="32"/>
          <w:szCs w:val="32"/>
        </w:rPr>
        <w:t>万元，主要包括商品和服务支出</w:t>
      </w:r>
      <w:r>
        <w:rPr>
          <w:rFonts w:ascii="仿宋" w:hAnsi="仿宋" w:eastAsia="仿宋" w:cs="仿宋"/>
          <w:spacing w:val="4"/>
          <w:sz w:val="32"/>
          <w:szCs w:val="32"/>
        </w:rPr>
        <w:t>51.81</w:t>
      </w:r>
      <w:r>
        <w:rPr>
          <w:rFonts w:hint="eastAsia" w:ascii="宋体" w:hAnsi="宋体" w:eastAsia="仿宋_GB2312" w:cs="Times New Roman"/>
          <w:sz w:val="32"/>
          <w:szCs w:val="32"/>
        </w:rPr>
        <w:t>万元和资本性支出0万元。</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七、一般公共预算财政拨款“三公”经费支出决算情况说明</w:t>
      </w:r>
    </w:p>
    <w:p>
      <w:pPr>
        <w:pStyle w:val="8"/>
        <w:ind w:firstLine="640"/>
        <w:rPr>
          <w:rFonts w:ascii="宋体" w:hAnsi="宋体" w:eastAsia="仿宋_GB2312" w:cs="Times New Roman"/>
          <w:sz w:val="32"/>
          <w:szCs w:val="32"/>
        </w:rPr>
      </w:pPr>
      <w:r>
        <w:rPr>
          <w:rFonts w:hint="eastAsia" w:ascii="宋体" w:hAnsi="宋体" w:eastAsia="仿宋_GB2312" w:cs="Times New Roman"/>
          <w:sz w:val="32"/>
          <w:szCs w:val="32"/>
        </w:rPr>
        <w:t>2021年我单位无“三公”经费支出</w:t>
      </w:r>
    </w:p>
    <w:p>
      <w:pPr>
        <w:numPr>
          <w:ilvl w:val="0"/>
          <w:numId w:val="3"/>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政府性基金预算收入支出决算情况说明</w:t>
      </w:r>
    </w:p>
    <w:p>
      <w:pPr>
        <w:pStyle w:val="8"/>
        <w:ind w:left="420" w:firstLine="320" w:firstLineChars="100"/>
        <w:rPr>
          <w:rFonts w:ascii="宋体" w:hAnsi="宋体" w:eastAsia="仿宋_GB2312" w:cs="Times New Roman"/>
          <w:sz w:val="32"/>
          <w:szCs w:val="32"/>
        </w:rPr>
      </w:pPr>
      <w:r>
        <w:rPr>
          <w:rFonts w:hint="eastAsia" w:ascii="宋体" w:hAnsi="宋体" w:eastAsia="仿宋_GB2312" w:cs="Times New Roman"/>
          <w:sz w:val="32"/>
          <w:szCs w:val="32"/>
        </w:rPr>
        <w:t>2021年我单位无政府性基金预算财政拨款。</w:t>
      </w:r>
    </w:p>
    <w:p>
      <w:pPr>
        <w:numPr>
          <w:ilvl w:val="0"/>
          <w:numId w:val="3"/>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其他重要事项的情况说明</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1.机关运行经费支出情况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我单位是事业单位，无机关运行经费。</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2.政府采购支出情况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2021年我单位无政府采购业务</w:t>
      </w:r>
      <w:bookmarkStart w:id="0" w:name="_GoBack"/>
      <w:bookmarkEnd w:id="0"/>
      <w:r>
        <w:rPr>
          <w:rFonts w:hint="eastAsia" w:ascii="宋体" w:hAnsi="宋体" w:eastAsia="仿宋_GB2312" w:cs="Times New Roman"/>
          <w:sz w:val="32"/>
          <w:szCs w:val="32"/>
        </w:rPr>
        <w:t>支出。</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3、国有资产占有情况</w:t>
      </w:r>
    </w:p>
    <w:p>
      <w:pPr>
        <w:ind w:firstLine="640" w:firstLineChars="200"/>
        <w:rPr>
          <w:rFonts w:ascii="宋体" w:hAnsi="宋体" w:eastAsia="仿宋_GB2312" w:cs="Times New Roman"/>
          <w:sz w:val="32"/>
          <w:szCs w:val="32"/>
        </w:rPr>
      </w:pPr>
      <w:r>
        <w:rPr>
          <w:rFonts w:hint="eastAsia" w:ascii="宋体" w:hAnsi="宋体" w:eastAsia="仿宋_GB2312" w:cs="Times New Roman"/>
          <w:sz w:val="32"/>
          <w:szCs w:val="32"/>
        </w:rPr>
        <w:t>截至2021年12月31日，本部门共有车辆0辆，其中，主要领导干部用车0辆、机要通信用车0辆、应急保障用车0辆、执法执勤用车0辆、特种专业技术用车0辆、离退休干部用车0辆、其他用车0辆， 单价50万元（含）以上的通用设备0台（套）， 单价100万元（含）以上专用设备0台（套）。</w:t>
      </w:r>
    </w:p>
    <w:p>
      <w:pPr>
        <w:numPr>
          <w:ilvl w:val="0"/>
          <w:numId w:val="4"/>
        </w:num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绩效管理情况</w:t>
      </w:r>
    </w:p>
    <w:p>
      <w:pPr>
        <w:pStyle w:val="8"/>
        <w:ind w:left="420" w:firstLine="0" w:firstLineChars="0"/>
        <w:rPr>
          <w:rFonts w:ascii="仿宋_GB2312" w:hAnsi="仿宋_GB2312" w:eastAsia="仿宋_GB2312" w:cs="仿宋_GB2312"/>
          <w:color w:val="000000"/>
          <w:kern w:val="0"/>
          <w:sz w:val="31"/>
          <w:szCs w:val="31"/>
        </w:rPr>
      </w:pPr>
      <w:r>
        <w:rPr>
          <w:rFonts w:hint="eastAsia" w:ascii="宋体" w:hAnsi="宋体" w:eastAsia="仿宋_GB2312" w:cs="Times New Roman"/>
          <w:sz w:val="32"/>
          <w:szCs w:val="32"/>
        </w:rPr>
        <w:t>我单位当年未开展绩效管理工作。</w:t>
      </w:r>
    </w:p>
    <w:p>
      <w:pPr>
        <w:spacing w:line="204" w:lineRule="auto"/>
        <w:jc w:val="left"/>
        <w:rPr>
          <w:rFonts w:ascii="楷体" w:hAnsi="楷体" w:eastAsia="楷体" w:cs="楷体"/>
          <w:spacing w:val="-3"/>
          <w:sz w:val="32"/>
          <w:szCs w:val="32"/>
        </w:rPr>
      </w:pPr>
      <w:r>
        <w:rPr>
          <w:rFonts w:hint="eastAsia" w:ascii="楷体" w:hAnsi="楷体" w:eastAsia="楷体" w:cs="楷体"/>
          <w:spacing w:val="-3"/>
          <w:sz w:val="32"/>
          <w:szCs w:val="32"/>
        </w:rPr>
        <w:t>5.政府购买服务指导性目录。</w:t>
      </w:r>
    </w:p>
    <w:p>
      <w:pPr>
        <w:spacing w:line="204" w:lineRule="auto"/>
        <w:ind w:firstLine="656" w:firstLineChars="200"/>
        <w:jc w:val="left"/>
        <w:rPr>
          <w:rFonts w:ascii="仿宋" w:hAnsi="仿宋" w:eastAsia="仿宋" w:cs="仿宋"/>
          <w:spacing w:val="4"/>
          <w:sz w:val="32"/>
          <w:szCs w:val="32"/>
        </w:rPr>
      </w:pPr>
      <w:r>
        <w:rPr>
          <w:rFonts w:hint="eastAsia" w:ascii="仿宋" w:hAnsi="仿宋" w:eastAsia="仿宋" w:cs="仿宋"/>
          <w:spacing w:val="4"/>
          <w:sz w:val="32"/>
          <w:szCs w:val="32"/>
        </w:rPr>
        <w:t>无</w:t>
      </w:r>
    </w:p>
    <w:p>
      <w:pPr>
        <w:ind w:firstLine="2808" w:firstLineChars="900"/>
        <w:outlineLvl w:val="0"/>
        <w:rPr>
          <w:rFonts w:ascii="黑体" w:hAnsi="黑体" w:eastAsia="黑体" w:cs="黑体"/>
          <w:snapToGrid w:val="0"/>
          <w:spacing w:val="-4"/>
          <w:kern w:val="0"/>
          <w:sz w:val="32"/>
          <w:szCs w:val="32"/>
        </w:rPr>
      </w:pPr>
      <w:r>
        <w:rPr>
          <w:rFonts w:hint="eastAsia" w:ascii="黑体" w:hAnsi="黑体" w:eastAsia="黑体" w:cs="黑体"/>
          <w:snapToGrid w:val="0"/>
          <w:spacing w:val="-4"/>
          <w:kern w:val="0"/>
          <w:sz w:val="32"/>
          <w:szCs w:val="32"/>
        </w:rPr>
        <w:t xml:space="preserve">第四部分 </w:t>
      </w:r>
      <w:r>
        <w:rPr>
          <w:rFonts w:ascii="黑体" w:hAnsi="黑体" w:eastAsia="黑体" w:cs="黑体"/>
          <w:snapToGrid w:val="0"/>
          <w:spacing w:val="-4"/>
          <w:kern w:val="0"/>
          <w:sz w:val="32"/>
          <w:szCs w:val="32"/>
        </w:rPr>
        <w:t>名词解释</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财政拨款收入</w:t>
      </w:r>
      <w:r>
        <w:rPr>
          <w:rFonts w:hint="eastAsia" w:ascii="仿宋" w:hAnsi="仿宋" w:eastAsia="仿宋" w:cs="仿宋"/>
          <w:spacing w:val="4"/>
          <w:sz w:val="32"/>
          <w:szCs w:val="32"/>
        </w:rPr>
        <w:t>:指同级财政当年拨付的资金。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上级补助收入</w:t>
      </w:r>
      <w:r>
        <w:rPr>
          <w:rFonts w:hint="eastAsia" w:ascii="仿宋" w:hAnsi="仿宋" w:eastAsia="仿宋" w:cs="仿宋"/>
          <w:spacing w:val="4"/>
          <w:sz w:val="32"/>
          <w:szCs w:val="32"/>
        </w:rPr>
        <w:t>:指事业单位从主管部门和上级单位取得的非财政补助收入。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事业收入</w:t>
      </w:r>
      <w:r>
        <w:rPr>
          <w:rFonts w:hint="eastAsia" w:ascii="仿宋" w:hAnsi="仿宋" w:eastAsia="仿宋" w:cs="仿宋"/>
          <w:spacing w:val="4"/>
          <w:sz w:val="32"/>
          <w:szCs w:val="32"/>
        </w:rPr>
        <w:t>:指事业单位开展专业业务活动及其辅助活动所取得的收入。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经营收入</w:t>
      </w:r>
      <w:r>
        <w:rPr>
          <w:rFonts w:hint="eastAsia" w:ascii="仿宋" w:hAnsi="仿宋" w:eastAsia="仿宋" w:cs="仿宋"/>
          <w:spacing w:val="4"/>
          <w:sz w:val="32"/>
          <w:szCs w:val="32"/>
        </w:rPr>
        <w:t>:指事业单位在专业业务活动及其辅助活动之外开展非独立核算经营活动取得的收入。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附属单位缴款</w:t>
      </w:r>
      <w:r>
        <w:rPr>
          <w:rFonts w:hint="eastAsia" w:ascii="仿宋" w:hAnsi="仿宋" w:eastAsia="仿宋" w:cs="仿宋"/>
          <w:spacing w:val="4"/>
          <w:sz w:val="32"/>
          <w:szCs w:val="32"/>
        </w:rPr>
        <w:t>:指事业单位附属的独立核算单位按有关规定上缴的收入。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其他收入</w:t>
      </w:r>
      <w:r>
        <w:rPr>
          <w:rFonts w:hint="eastAsia" w:ascii="仿宋" w:hAnsi="仿宋" w:eastAsia="仿宋" w:cs="仿宋"/>
          <w:spacing w:val="4"/>
          <w:sz w:val="32"/>
          <w:szCs w:val="32"/>
        </w:rPr>
        <w:t>:指除上述“财政拨款收入”、“事业收入”、“经营收入”、“附属单位缴款”等之外取得的收入。</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用事业基金弥补收支差额</w:t>
      </w:r>
      <w:r>
        <w:rPr>
          <w:rFonts w:hint="eastAsia" w:ascii="仿宋" w:hAnsi="仿宋" w:eastAsia="仿宋" w:cs="仿宋"/>
          <w:spacing w:val="4"/>
          <w:sz w:val="32"/>
          <w:szCs w:val="32"/>
        </w:rPr>
        <w:t>:指事业单位在当年的“财政拨款收入”、“财政拨款结转和结余资金”、“事业收入”、“事业单位经营收入”、“其他区收入”不足以安排当年支出的情况下，使用以前年度积累的事业基金(即事业单位当年收支相抵后按国家规定提取、用于弥补以后年度收支差额的基金)弥补本年度收支缺口的资金。</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上年结转和结余</w:t>
      </w:r>
      <w:r>
        <w:rPr>
          <w:rFonts w:hint="eastAsia" w:ascii="仿宋" w:hAnsi="仿宋" w:eastAsia="仿宋" w:cs="仿宋"/>
          <w:spacing w:val="4"/>
          <w:sz w:val="32"/>
          <w:szCs w:val="32"/>
        </w:rPr>
        <w:t>：指以前年度支出预算因客观条件变化未执行完毕、结转到本年度按有关规定继续使用的资金，既包括财政拨款结转和结余，也包括事业收入、经营收入、其他收入的结转和结余。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结余分配</w:t>
      </w:r>
      <w:r>
        <w:rPr>
          <w:rFonts w:hint="eastAsia" w:ascii="仿宋" w:hAnsi="仿宋" w:eastAsia="仿宋" w:cs="仿宋"/>
          <w:spacing w:val="4"/>
          <w:sz w:val="32"/>
          <w:szCs w:val="32"/>
        </w:rPr>
        <w:t>：反应单位当年结余的分配情况。</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年末结转和结余</w:t>
      </w:r>
      <w:r>
        <w:rPr>
          <w:rFonts w:hint="eastAsia" w:ascii="仿宋" w:hAnsi="仿宋" w:eastAsia="仿宋" w:cs="仿宋"/>
          <w:spacing w:val="4"/>
          <w:sz w:val="32"/>
          <w:szCs w:val="32"/>
        </w:rPr>
        <w:t>：指本年度或以前年度预算安排、因客观条件发生变化按原计划实施，需要延迟到以后年度按有关规定继续使用的资金，既包括财政拨款结转和结余，也包括事业收入、经营收入、其他收入的结转和结余。</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基本支出</w:t>
      </w:r>
      <w:r>
        <w:rPr>
          <w:rFonts w:hint="eastAsia" w:ascii="仿宋" w:hAnsi="仿宋" w:eastAsia="仿宋" w:cs="仿宋"/>
          <w:spacing w:val="4"/>
          <w:sz w:val="32"/>
          <w:szCs w:val="32"/>
        </w:rPr>
        <w:t>：指为保障机构正常运转、完成日常工作任务而发生的人员支出和公用支出。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项目支出</w:t>
      </w:r>
      <w:r>
        <w:rPr>
          <w:rFonts w:hint="eastAsia" w:ascii="仿宋" w:hAnsi="仿宋" w:eastAsia="仿宋" w:cs="仿宋"/>
          <w:spacing w:val="4"/>
          <w:sz w:val="32"/>
          <w:szCs w:val="32"/>
        </w:rPr>
        <w:t>：指在基本支出之外为完成特定行政任务和事业发展目标所发生的支出。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经营支出</w:t>
      </w:r>
      <w:r>
        <w:rPr>
          <w:rFonts w:hint="eastAsia" w:ascii="仿宋" w:hAnsi="仿宋" w:eastAsia="仿宋" w:cs="仿宋"/>
          <w:spacing w:val="4"/>
          <w:sz w:val="32"/>
          <w:szCs w:val="32"/>
        </w:rPr>
        <w:t>：指事业单位在专业业务活动及其辅助活动之外开展非独立核算经营活动发生的支出。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对附属单位补助支出</w:t>
      </w:r>
      <w:r>
        <w:rPr>
          <w:rFonts w:hint="eastAsia" w:ascii="仿宋" w:hAnsi="仿宋" w:eastAsia="仿宋" w:cs="仿宋"/>
          <w:spacing w:val="4"/>
          <w:sz w:val="32"/>
          <w:szCs w:val="32"/>
        </w:rPr>
        <w:t>：指事业单位发生的用非财政预算资金对附属单位的补助支出。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“三公”经费</w:t>
      </w:r>
      <w:r>
        <w:rPr>
          <w:rFonts w:hint="eastAsia" w:ascii="仿宋" w:hAnsi="仿宋" w:eastAsia="仿宋" w:cs="仿宋"/>
          <w:spacing w:val="4"/>
          <w:sz w:val="32"/>
          <w:szCs w:val="32"/>
        </w:rPr>
        <w:t>：纳入同级财政预决算管理的“三公”经费是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等支出；公务接待费反映单位按规定开支的各类公务接待（含外宾接待）支出。</w:t>
      </w:r>
    </w:p>
    <w:p>
      <w:pPr>
        <w:spacing w:line="204" w:lineRule="auto"/>
        <w:jc w:val="left"/>
        <w:rPr>
          <w:rFonts w:ascii="仿宋" w:hAnsi="仿宋" w:eastAsia="仿宋" w:cs="仿宋"/>
          <w:spacing w:val="4"/>
          <w:sz w:val="32"/>
          <w:szCs w:val="32"/>
        </w:rPr>
      </w:pPr>
      <w:r>
        <w:rPr>
          <w:rFonts w:hint="eastAsia" w:ascii="仿宋" w:hAnsi="仿宋" w:eastAsia="仿宋" w:cs="仿宋"/>
          <w:b/>
          <w:bCs/>
          <w:spacing w:val="4"/>
          <w:sz w:val="32"/>
          <w:szCs w:val="32"/>
        </w:rPr>
        <w:t>机关运行经费</w:t>
      </w:r>
      <w:r>
        <w:rPr>
          <w:rFonts w:hint="eastAsia" w:ascii="仿宋" w:hAnsi="仿宋" w:eastAsia="仿宋" w:cs="仿宋"/>
          <w:spacing w:val="4"/>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204" w:lineRule="auto"/>
        <w:jc w:val="left"/>
      </w:pPr>
      <w:r>
        <w:rPr>
          <w:rFonts w:hint="eastAsia" w:ascii="仿宋" w:hAnsi="仿宋" w:eastAsia="仿宋" w:cs="仿宋"/>
          <w:b/>
          <w:bCs/>
          <w:spacing w:val="4"/>
          <w:sz w:val="32"/>
          <w:szCs w:val="32"/>
        </w:rPr>
        <w:t>其他需要解释的名词</w:t>
      </w:r>
      <w:r>
        <w:rPr>
          <w:rFonts w:hint="eastAsia" w:ascii="仿宋" w:hAnsi="仿宋" w:eastAsia="仿宋" w:cs="仿宋"/>
          <w:spacing w:val="4"/>
          <w:sz w:val="32"/>
          <w:szCs w:val="32"/>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E0828"/>
    <w:multiLevelType w:val="singleLevel"/>
    <w:tmpl w:val="0CAE0828"/>
    <w:lvl w:ilvl="0" w:tentative="0">
      <w:start w:val="8"/>
      <w:numFmt w:val="chineseCounting"/>
      <w:suff w:val="nothing"/>
      <w:lvlText w:val="%1、"/>
      <w:lvlJc w:val="left"/>
      <w:rPr>
        <w:rFonts w:hint="eastAsia"/>
      </w:rPr>
    </w:lvl>
  </w:abstractNum>
  <w:abstractNum w:abstractNumId="1">
    <w:nsid w:val="32CD2E15"/>
    <w:multiLevelType w:val="singleLevel"/>
    <w:tmpl w:val="32CD2E15"/>
    <w:lvl w:ilvl="0" w:tentative="0">
      <w:start w:val="1"/>
      <w:numFmt w:val="chineseCounting"/>
      <w:suff w:val="nothing"/>
      <w:lvlText w:val="（%1）"/>
      <w:lvlJc w:val="left"/>
      <w:rPr>
        <w:rFonts w:hint="eastAsia"/>
      </w:rPr>
    </w:lvl>
  </w:abstractNum>
  <w:abstractNum w:abstractNumId="2">
    <w:nsid w:val="40B6F801"/>
    <w:multiLevelType w:val="singleLevel"/>
    <w:tmpl w:val="40B6F801"/>
    <w:lvl w:ilvl="0" w:tentative="0">
      <w:start w:val="4"/>
      <w:numFmt w:val="decimal"/>
      <w:lvlText w:val="%1."/>
      <w:lvlJc w:val="left"/>
      <w:pPr>
        <w:tabs>
          <w:tab w:val="left" w:pos="312"/>
        </w:tabs>
      </w:pPr>
    </w:lvl>
  </w:abstractNum>
  <w:abstractNum w:abstractNumId="3">
    <w:nsid w:val="6AF4BF66"/>
    <w:multiLevelType w:val="singleLevel"/>
    <w:tmpl w:val="6AF4BF66"/>
    <w:lvl w:ilvl="0" w:tentative="0">
      <w:start w:val="1"/>
      <w:numFmt w:val="chineseCounting"/>
      <w:suff w:val="nothing"/>
      <w:lvlText w:val="%1、"/>
      <w:lvlJc w:val="left"/>
      <w:rPr>
        <w:rFonts w:hint="eastAsia"/>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01938EB"/>
    <w:rsid w:val="0735071D"/>
    <w:rsid w:val="101938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3">
    <w:name w:val="Body Text First Indent"/>
    <w:basedOn w:val="2"/>
    <w:unhideWhenUsed/>
    <w:qFormat/>
    <w:uiPriority w:val="99"/>
    <w:pPr>
      <w:spacing w:after="0"/>
      <w:ind w:firstLine="420"/>
    </w:pPr>
  </w:style>
  <w:style w:type="paragraph" w:customStyle="1" w:styleId="6">
    <w:name w:val="WPSOffice手动目录 1"/>
    <w:qFormat/>
    <w:uiPriority w:val="0"/>
    <w:rPr>
      <w:rFonts w:ascii="Times New Roman" w:hAnsi="Times New Roman" w:eastAsia="宋体" w:cs="Times New Roman"/>
      <w:lang w:val="en-US" w:eastAsia="zh-CN" w:bidi="ar-SA"/>
    </w:rPr>
  </w:style>
  <w:style w:type="paragraph" w:customStyle="1" w:styleId="7">
    <w:name w:val="WPSOffice手动目录 2"/>
    <w:qFormat/>
    <w:uiPriority w:val="0"/>
    <w:pPr>
      <w:ind w:left="200" w:leftChars="200"/>
    </w:pPr>
    <w:rPr>
      <w:rFonts w:ascii="Times New Roman" w:hAnsi="Times New Roman" w:eastAsia="宋体" w:cs="Times New Roman"/>
      <w:lang w:val="en-US" w:eastAsia="zh-CN" w:bidi="ar-SA"/>
    </w:rPr>
  </w:style>
  <w:style w:type="paragraph" w:styleId="8">
    <w:name w:val="List Paragraph"/>
    <w:basedOn w:val="1"/>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2022-09-08T02:27:00Z</dcterms:created>
  <dc:creator>刘</dc:creator>
  <cp:lastModifiedBy>Administrator</cp:lastModifiedBy>
  <dcterms:modified xsi:type="dcterms:W3CDTF">2022-10-19T02:04:29Z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B70363C1FC7742569A1D48086F711786</vt:lpwstr>
  </property>
</Properties>
</file>