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山西省朔州市朔城区第四幼儿园</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800" w:firstLineChars="250"/>
        <w:rPr>
          <w:rFonts w:ascii="宋体" w:hAnsi="宋体" w:eastAsia="仿宋_GB2312"/>
          <w:sz w:val="32"/>
          <w:szCs w:val="32"/>
        </w:rPr>
      </w:pPr>
      <w:r>
        <w:rPr>
          <w:rFonts w:ascii="仿宋" w:hAnsi="仿宋" w:eastAsia="仿宋" w:cs="仿宋"/>
          <w:sz w:val="32"/>
          <w:szCs w:val="32"/>
        </w:rPr>
        <w:t>1</w:t>
      </w:r>
      <w:r>
        <w:rPr>
          <w:rFonts w:hint="eastAsia" w:ascii="仿宋" w:hAnsi="仿宋" w:eastAsia="仿宋" w:cs="仿宋"/>
          <w:sz w:val="24"/>
        </w:rPr>
        <w:t>、</w:t>
      </w:r>
      <w:r>
        <w:rPr>
          <w:rFonts w:hint="eastAsia" w:ascii="宋体" w:hAnsi="宋体" w:eastAsia="仿宋_GB2312"/>
          <w:sz w:val="32"/>
          <w:szCs w:val="32"/>
        </w:rPr>
        <w:t>实施学前教育。</w:t>
      </w:r>
    </w:p>
    <w:p>
      <w:pPr>
        <w:ind w:firstLine="800" w:firstLineChars="250"/>
        <w:rPr>
          <w:rFonts w:ascii="仿宋" w:hAnsi="仿宋" w:eastAsia="仿宋" w:cs="仿宋"/>
          <w:sz w:val="32"/>
          <w:szCs w:val="32"/>
        </w:rPr>
      </w:pPr>
      <w:r>
        <w:rPr>
          <w:rFonts w:ascii="宋体" w:hAnsi="宋体" w:eastAsia="仿宋_GB2312"/>
          <w:sz w:val="32"/>
          <w:szCs w:val="32"/>
        </w:rPr>
        <w:t>2</w:t>
      </w:r>
      <w:r>
        <w:rPr>
          <w:rFonts w:hint="eastAsia" w:ascii="宋体" w:hAnsi="宋体" w:eastAsia="仿宋_GB2312"/>
          <w:sz w:val="32"/>
          <w:szCs w:val="32"/>
        </w:rPr>
        <w:t>、贯彻《幼儿园教育指导纲要》，创设与幼儿的教育和发展相适应的和谐环境，引导幼儿个性的健康发展。</w:t>
      </w:r>
      <w:r>
        <w:rPr>
          <w:rFonts w:ascii="宋体" w:hAnsi="宋体" w:eastAsia="仿宋_GB2312"/>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10"/>
        <w:numPr>
          <w:numId w:val="0"/>
        </w:numPr>
        <w:ind w:firstLine="960" w:firstLineChars="300"/>
        <w:rPr>
          <w:rFonts w:ascii="宋体" w:hAnsi="宋体" w:eastAsia="仿宋_GB2312"/>
          <w:sz w:val="32"/>
          <w:szCs w:val="32"/>
        </w:rPr>
      </w:pPr>
      <w:r>
        <w:rPr>
          <w:rFonts w:hint="eastAsia" w:ascii="宋体" w:hAnsi="宋体" w:eastAsia="仿宋_GB2312"/>
          <w:sz w:val="32"/>
          <w:szCs w:val="32"/>
        </w:rPr>
        <w:t>朔城区第四幼儿园的主管部门为朔城区教育局，是二级预算单位，无下属单位。从预算单位构成看</w:t>
      </w:r>
      <w:r>
        <w:rPr>
          <w:rFonts w:ascii="宋体" w:hAnsi="宋体" w:eastAsia="仿宋_GB2312"/>
          <w:sz w:val="32"/>
          <w:szCs w:val="32"/>
        </w:rPr>
        <w:t>,</w:t>
      </w:r>
      <w:r>
        <w:rPr>
          <w:rFonts w:hint="eastAsia" w:ascii="宋体" w:hAnsi="宋体" w:eastAsia="仿宋_GB2312"/>
          <w:sz w:val="32"/>
          <w:szCs w:val="32"/>
        </w:rPr>
        <w:t>本单位部门决算包括</w:t>
      </w:r>
      <w:r>
        <w:rPr>
          <w:rFonts w:ascii="宋体" w:hAnsi="宋体" w:eastAsia="仿宋_GB2312"/>
          <w:sz w:val="32"/>
          <w:szCs w:val="32"/>
        </w:rPr>
        <w:t>:</w:t>
      </w:r>
      <w:r>
        <w:rPr>
          <w:rFonts w:hint="eastAsia" w:ascii="宋体" w:hAnsi="宋体" w:eastAsia="仿宋_GB2312"/>
          <w:sz w:val="32"/>
          <w:szCs w:val="32"/>
        </w:rPr>
        <w:t>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计204.79万元 、 支 出 总 计204.79万元。与 2020年相比,收入总计增加204.79万元，支出总计增加204.79万元。主要原因是：我单位是新预算单位。</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204.79</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56.07</w:t>
      </w:r>
      <w:r>
        <w:rPr>
          <w:rFonts w:hint="eastAsia" w:ascii="宋体" w:hAnsi="宋体" w:eastAsia="仿宋_GB2312" w:cs="Times New Roman"/>
          <w:sz w:val="32"/>
          <w:szCs w:val="32"/>
        </w:rPr>
        <w:t>万元;事业收入143.71万元，其他收入5.02万元。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203.40</w:t>
      </w:r>
      <w:r>
        <w:rPr>
          <w:rFonts w:hint="eastAsia" w:ascii="宋体" w:hAnsi="宋体" w:eastAsia="仿宋_GB2312" w:cs="Times New Roman"/>
          <w:sz w:val="32"/>
          <w:szCs w:val="32"/>
        </w:rPr>
        <w:t>万元 ，其中：基本支出</w:t>
      </w:r>
      <w:r>
        <w:rPr>
          <w:rFonts w:hint="eastAsia" w:ascii="仿宋" w:hAnsi="仿宋" w:eastAsia="仿宋" w:cs="仿宋"/>
          <w:sz w:val="32"/>
          <w:szCs w:val="32"/>
        </w:rPr>
        <w:t>0</w:t>
      </w:r>
      <w:r>
        <w:rPr>
          <w:rFonts w:hint="eastAsia" w:ascii="宋体" w:hAnsi="宋体" w:eastAsia="仿宋_GB2312" w:cs="Times New Roman"/>
          <w:sz w:val="32"/>
          <w:szCs w:val="32"/>
        </w:rPr>
        <w:t>万元 。项目支出203.40万元。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56.07</w:t>
      </w:r>
      <w:r>
        <w:rPr>
          <w:rFonts w:hint="eastAsia" w:ascii="宋体" w:hAnsi="宋体" w:eastAsia="仿宋_GB2312" w:cs="Times New Roman"/>
          <w:sz w:val="32"/>
          <w:szCs w:val="32"/>
        </w:rPr>
        <w:t>万元、支出总计56.07万元。与 2020 年相比，财政拨款收入总计增加56.07万元，增加100 %。主要原因是：我单位是新预算单位。</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56.07</w:t>
      </w:r>
      <w:r>
        <w:rPr>
          <w:rFonts w:hint="eastAsia" w:ascii="宋体" w:hAnsi="宋体" w:eastAsia="仿宋_GB2312" w:cs="Times New Roman"/>
          <w:sz w:val="32"/>
          <w:szCs w:val="32"/>
        </w:rPr>
        <w:t>万元，与 2020 年相比，财政拨款支出增加56.07万元。主要原因是：我单位是新预算单位。</w:t>
      </w:r>
    </w:p>
    <w:p>
      <w:pPr>
        <w:spacing w:line="204" w:lineRule="auto"/>
        <w:jc w:val="left"/>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56.07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其他普通教育(到项级科目)支出0.20万元，占0.4%；</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学前教育(到项级科目)支出55.87万元，占99.6%。</w:t>
      </w:r>
      <w:r>
        <w:rPr>
          <w:rFonts w:ascii="仿宋" w:hAnsi="仿宋" w:eastAsia="仿宋" w:cs="仿宋"/>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2021年度一般公共预算财政拨款支出当年调整预算数56.07万元，支出决算为</w:t>
      </w:r>
      <w:r>
        <w:rPr>
          <w:rFonts w:hint="eastAsia" w:ascii="仿宋" w:hAnsi="仿宋" w:eastAsia="仿宋" w:cs="仿宋"/>
          <w:sz w:val="32"/>
          <w:szCs w:val="32"/>
        </w:rPr>
        <w:t>56.07</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r>
        <w:rPr>
          <w:rFonts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0</w:t>
      </w:r>
      <w:r>
        <w:rPr>
          <w:rFonts w:hint="eastAsia" w:ascii="宋体" w:hAnsi="宋体" w:eastAsia="仿宋_GB2312" w:cs="Times New Roman"/>
          <w:sz w:val="32"/>
          <w:szCs w:val="32"/>
        </w:rPr>
        <w:t>万元，2021年“三公”经费一般公共预算财政拨款支出决算数</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bookmarkEnd w:id="18"/>
      <w:bookmarkEnd w:id="19"/>
      <w:r>
        <w:rPr>
          <w:rFonts w:hint="eastAsia" w:ascii="宋体" w:hAnsi="宋体" w:eastAsia="仿宋_GB2312" w:cs="Times New Roman"/>
          <w:sz w:val="32"/>
          <w:szCs w:val="32"/>
        </w:rPr>
        <w:t>。我单位2020年、2021年都没有产生“三公”经费。</w:t>
      </w:r>
    </w:p>
    <w:p>
      <w:pPr>
        <w:rPr>
          <w:rFonts w:ascii="楷体" w:hAnsi="楷体" w:eastAsia="楷体" w:cs="楷体"/>
          <w:spacing w:val="-3"/>
          <w:sz w:val="32"/>
          <w:szCs w:val="32"/>
        </w:rPr>
      </w:pPr>
      <w:r>
        <w:rPr>
          <w:rFonts w:hint="eastAsia" w:ascii="楷体" w:hAnsi="楷体" w:eastAsia="楷体" w:cs="楷体"/>
          <w:spacing w:val="-3"/>
          <w:sz w:val="32"/>
          <w:szCs w:val="32"/>
        </w:rPr>
        <w:t>八、政府性基金预算收入支出决算情况说明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pStyle w:val="10"/>
        <w:numPr>
          <w:ilvl w:val="0"/>
          <w:numId w:val="3"/>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12.07</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12.07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w:t>
      </w:r>
      <w:bookmarkStart w:id="22" w:name="_GoBack"/>
      <w:bookmarkEnd w:id="22"/>
      <w:r>
        <w:rPr>
          <w:rFonts w:hint="eastAsia" w:ascii="楷体" w:hAnsi="楷体" w:eastAsia="楷体" w:cs="楷体"/>
          <w:spacing w:val="-3"/>
          <w:sz w:val="32"/>
          <w:szCs w:val="32"/>
        </w:rPr>
        <w:t>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截至2021年12月31日，本部门共有车辆0辆。单价50万元（含）以上的通用设备0台（套）， 单价100万元（含）以上专用设备0台（套）。</w:t>
      </w:r>
    </w:p>
    <w:p>
      <w:pPr>
        <w:ind w:firstLine="160" w:firstLineChars="50"/>
        <w:rPr>
          <w:rFonts w:ascii="楷体" w:hAnsi="楷体" w:eastAsia="楷体" w:cs="楷体"/>
          <w:spacing w:val="-3"/>
          <w:sz w:val="32"/>
          <w:szCs w:val="32"/>
        </w:rPr>
      </w:pPr>
      <w:r>
        <w:rPr>
          <w:rFonts w:hint="eastAsia" w:ascii="宋体" w:hAnsi="宋体" w:eastAsia="仿宋_GB2312" w:cs="Times New Roman"/>
          <w:sz w:val="32"/>
          <w:szCs w:val="32"/>
        </w:rPr>
        <w:t>4、</w:t>
      </w: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未开展</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E15"/>
    <w:multiLevelType w:val="singleLevel"/>
    <w:tmpl w:val="32CD2E15"/>
    <w:lvl w:ilvl="0" w:tentative="0">
      <w:start w:val="1"/>
      <w:numFmt w:val="chineseCounting"/>
      <w:suff w:val="nothing"/>
      <w:lvlText w:val="（%1）"/>
      <w:lvlJc w:val="left"/>
      <w:rPr>
        <w:rFonts w:hint="eastAsia"/>
      </w:rPr>
    </w:lvl>
  </w:abstractNum>
  <w:abstractNum w:abstractNumId="1">
    <w:nsid w:val="5375785A"/>
    <w:multiLevelType w:val="multilevel"/>
    <w:tmpl w:val="5375785A"/>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21205"/>
    <w:rsid w:val="00052B5B"/>
    <w:rsid w:val="000F407D"/>
    <w:rsid w:val="00181443"/>
    <w:rsid w:val="00191F72"/>
    <w:rsid w:val="001E6F51"/>
    <w:rsid w:val="003670A7"/>
    <w:rsid w:val="00412E49"/>
    <w:rsid w:val="00480269"/>
    <w:rsid w:val="00491D22"/>
    <w:rsid w:val="004A0FBF"/>
    <w:rsid w:val="00504E3E"/>
    <w:rsid w:val="0053179C"/>
    <w:rsid w:val="00557C3A"/>
    <w:rsid w:val="0057022A"/>
    <w:rsid w:val="00623D88"/>
    <w:rsid w:val="0068750F"/>
    <w:rsid w:val="006A55E9"/>
    <w:rsid w:val="0073587B"/>
    <w:rsid w:val="00757B05"/>
    <w:rsid w:val="007675F5"/>
    <w:rsid w:val="00774AFB"/>
    <w:rsid w:val="007B7D9E"/>
    <w:rsid w:val="00884D83"/>
    <w:rsid w:val="0088670A"/>
    <w:rsid w:val="009358A8"/>
    <w:rsid w:val="009A4BF3"/>
    <w:rsid w:val="009B0719"/>
    <w:rsid w:val="009B21AD"/>
    <w:rsid w:val="00A56A5D"/>
    <w:rsid w:val="00B111B2"/>
    <w:rsid w:val="00B36211"/>
    <w:rsid w:val="00C376A1"/>
    <w:rsid w:val="00C42D68"/>
    <w:rsid w:val="00DC20F6"/>
    <w:rsid w:val="00E4217F"/>
    <w:rsid w:val="00EB2DD4"/>
    <w:rsid w:val="00F00ED1"/>
    <w:rsid w:val="00F86A88"/>
    <w:rsid w:val="00F9223F"/>
    <w:rsid w:val="0E115DFD"/>
    <w:rsid w:val="11D27EAE"/>
    <w:rsid w:val="20D97C1B"/>
    <w:rsid w:val="23553F43"/>
    <w:rsid w:val="299664C8"/>
    <w:rsid w:val="3F28132A"/>
    <w:rsid w:val="46F049B7"/>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444</Words>
  <Characters>2535</Characters>
  <Lines>21</Lines>
  <Paragraphs>5</Paragraphs>
  <TotalTime>285</TotalTime>
  <ScaleCrop>false</ScaleCrop>
  <LinksUpToDate>false</LinksUpToDate>
  <CharactersWithSpaces>2974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2022-10-18T07:31:24Z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