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朔州市朔城区马邑博物馆</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numPr>
          <w:ilvl w:val="0"/>
          <w:numId w:val="0"/>
        </w:num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1、博物馆是征集、典藏、陈列和保护研究文物的场所，为公众提供知识、教育和欣赏的非营利性的社会公共机构，为社会发展提供服务，以学习、教育为目的；</w:t>
      </w:r>
    </w:p>
    <w:p>
      <w:pPr>
        <w:numPr>
          <w:ilvl w:val="0"/>
          <w:numId w:val="0"/>
        </w:num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2、对馆藏文物按有关规定进行妥善保管，防火、防盗，确保文物的安全；</w:t>
      </w:r>
    </w:p>
    <w:p>
      <w:pPr>
        <w:numPr>
          <w:ilvl w:val="0"/>
          <w:numId w:val="0"/>
        </w:num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3、对展出文物进行科学管理、保护、整理研究；</w:t>
      </w:r>
    </w:p>
    <w:p>
      <w:pPr>
        <w:numPr>
          <w:ilvl w:val="0"/>
          <w:numId w:val="0"/>
        </w:num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4、接待游客参观游览；</w:t>
      </w:r>
    </w:p>
    <w:p>
      <w:pPr>
        <w:numPr>
          <w:ilvl w:val="0"/>
          <w:numId w:val="0"/>
        </w:numPr>
        <w:spacing w:line="360" w:lineRule="auto"/>
        <w:ind w:firstLine="600" w:firstLineChars="200"/>
        <w:rPr>
          <w:rFonts w:ascii="仿宋" w:hAnsi="仿宋" w:eastAsia="仿宋" w:cs="仿宋"/>
          <w:sz w:val="32"/>
          <w:szCs w:val="32"/>
        </w:rPr>
      </w:pPr>
      <w:r>
        <w:rPr>
          <w:rFonts w:hint="eastAsia" w:ascii="仿宋" w:hAnsi="仿宋" w:eastAsia="仿宋" w:cs="仿宋"/>
          <w:sz w:val="30"/>
          <w:szCs w:val="30"/>
          <w:lang w:val="en-US" w:eastAsia="zh-CN"/>
        </w:rPr>
        <w:t>5、完成文化行政部门、材质部门交办的其他相关工作</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rPr>
        <w:t>我单位为二级单位，无下属单位</w:t>
      </w:r>
      <w:r>
        <w:rPr>
          <w:rFonts w:hint="eastAsia" w:ascii="仿宋_GB2312" w:eastAsia="仿宋_GB2312"/>
          <w:bCs/>
          <w:sz w:val="32"/>
          <w:szCs w:val="32"/>
          <w:lang w:eastAsia="zh-CN"/>
        </w:rPr>
        <w:t>。</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val="en-US" w:eastAsia="zh-CN"/>
        </w:rPr>
        <w:t>朔城区马邑博物馆</w:t>
      </w:r>
      <w:r>
        <w:rPr>
          <w:rFonts w:hint="eastAsia" w:ascii="宋体" w:hAnsi="宋体" w:eastAsia="仿宋_GB2312" w:cs="Times New Roman"/>
          <w:sz w:val="32"/>
          <w:szCs w:val="32"/>
        </w:rPr>
        <w:t>部门决算包括：本级决算</w:t>
      </w:r>
      <w:r>
        <w:rPr>
          <w:rFonts w:hint="eastAsia" w:ascii="宋体" w:hAnsi="宋体" w:eastAsia="仿宋_GB2312" w:cs="Times New Roman"/>
          <w:sz w:val="32"/>
          <w:szCs w:val="32"/>
          <w:lang w:eastAsia="zh-CN"/>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年度收入总计</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w:t>
      </w:r>
      <w:r>
        <w:rPr>
          <w:rFonts w:hint="eastAsia" w:ascii="宋体" w:hAnsi="宋体" w:eastAsia="仿宋_GB2312" w:cs="Times New Roman"/>
          <w:sz w:val="32"/>
          <w:szCs w:val="32"/>
          <w:lang w:val="en-US" w:eastAsia="zh-CN"/>
        </w:rPr>
        <w:t>无变化</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2020年我单位为</w:t>
      </w:r>
      <w:r>
        <w:rPr>
          <w:rFonts w:hint="eastAsia" w:ascii="仿宋" w:hAnsi="仿宋" w:eastAsia="仿宋" w:cs="仿宋"/>
          <w:sz w:val="30"/>
          <w:szCs w:val="30"/>
          <w:lang w:val="en-US" w:eastAsia="zh-CN"/>
        </w:rPr>
        <w:t>朔城区文化和旅游局下属单位，</w:t>
      </w:r>
      <w:r>
        <w:rPr>
          <w:rFonts w:hint="eastAsia" w:ascii="宋体" w:hAnsi="宋体" w:eastAsia="仿宋_GB2312" w:cs="Times New Roman"/>
          <w:sz w:val="32"/>
          <w:szCs w:val="32"/>
          <w:lang w:val="en-US" w:eastAsia="zh-CN"/>
        </w:rPr>
        <w:t>无独立财务。</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hint="eastAsia" w:ascii="仿宋" w:hAnsi="仿宋" w:eastAsia="仿宋_GB2312" w:cs="仿宋"/>
          <w:spacing w:val="-4"/>
          <w:sz w:val="32"/>
          <w:szCs w:val="32"/>
          <w:lang w:eastAsia="zh-CN"/>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附属单位上缴收入0万元，其他收入0万元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119.89</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182.24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w:t>
      </w:r>
      <w:r>
        <w:rPr>
          <w:rFonts w:hint="eastAsia" w:ascii="宋体" w:hAnsi="宋体" w:eastAsia="仿宋_GB2312" w:cs="Times New Roman"/>
          <w:sz w:val="32"/>
          <w:szCs w:val="32"/>
          <w:lang w:val="en-US" w:eastAsia="zh-CN"/>
        </w:rPr>
        <w:t>无变化</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2020年我单位为</w:t>
      </w:r>
      <w:r>
        <w:rPr>
          <w:rFonts w:hint="eastAsia" w:ascii="仿宋" w:hAnsi="仿宋" w:eastAsia="仿宋" w:cs="仿宋"/>
          <w:sz w:val="30"/>
          <w:szCs w:val="30"/>
          <w:lang w:val="en-US" w:eastAsia="zh-CN"/>
        </w:rPr>
        <w:t>朔城区文化和旅游局下属单位，</w:t>
      </w:r>
      <w:r>
        <w:rPr>
          <w:rFonts w:hint="eastAsia" w:ascii="宋体" w:hAnsi="宋体" w:eastAsia="仿宋_GB2312" w:cs="Times New Roman"/>
          <w:sz w:val="32"/>
          <w:szCs w:val="32"/>
          <w:lang w:val="en-US" w:eastAsia="zh-CN"/>
        </w:rPr>
        <w:t>无独立财务。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w:t>
      </w:r>
      <w:r>
        <w:rPr>
          <w:rFonts w:hint="eastAsia" w:ascii="宋体" w:hAnsi="宋体" w:eastAsia="仿宋_GB2312" w:cs="Times New Roman"/>
          <w:sz w:val="32"/>
          <w:szCs w:val="32"/>
          <w:lang w:val="en-US" w:eastAsia="zh-CN"/>
        </w:rPr>
        <w:t>无变化</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2020年我单位为</w:t>
      </w:r>
      <w:r>
        <w:rPr>
          <w:rFonts w:hint="eastAsia" w:ascii="仿宋" w:hAnsi="仿宋" w:eastAsia="仿宋" w:cs="仿宋"/>
          <w:sz w:val="30"/>
          <w:szCs w:val="30"/>
          <w:lang w:val="en-US" w:eastAsia="zh-CN"/>
        </w:rPr>
        <w:t>朔城区文化和旅游局下属单位，</w:t>
      </w:r>
      <w:r>
        <w:rPr>
          <w:rFonts w:hint="eastAsia" w:ascii="宋体" w:hAnsi="宋体" w:eastAsia="仿宋_GB2312" w:cs="Times New Roman"/>
          <w:sz w:val="32"/>
          <w:szCs w:val="32"/>
          <w:lang w:val="en-US" w:eastAsia="zh-CN"/>
        </w:rPr>
        <w:t>无独立财务。</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文物保护支出97万元，占比%32.11%；博物馆支出205.13万元，占比67.89%</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302.13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119.89</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115.09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115.09</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4.8</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,主要包括商品和服务支出4.8万元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00" w:firstLineChars="200"/>
        <w:rPr>
          <w:rFonts w:hint="default" w:ascii="宋体" w:hAnsi="宋体" w:eastAsia="仿宋_GB2312" w:cs="Times New Roman"/>
          <w:sz w:val="32"/>
          <w:szCs w:val="32"/>
          <w:lang w:val="en-US"/>
        </w:rPr>
      </w:pPr>
      <w:bookmarkStart w:id="18" w:name="_Toc10214_WPSOffice_Level2"/>
      <w:bookmarkStart w:id="19" w:name="_Toc9131_WPSOffice_Level2"/>
      <w:r>
        <w:rPr>
          <w:rFonts w:hint="eastAsia" w:ascii="仿宋" w:hAnsi="仿宋" w:eastAsia="仿宋" w:cs="仿宋"/>
          <w:color w:val="auto"/>
          <w:sz w:val="30"/>
          <w:szCs w:val="30"/>
          <w:highlight w:val="none"/>
          <w:lang w:val="en-US" w:eastAsia="zh-CN"/>
        </w:rPr>
        <w:t>我单位2021年无“三公”经费。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政府性基金预算</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我</w:t>
      </w:r>
      <w:r>
        <w:rPr>
          <w:rFonts w:hint="eastAsia" w:ascii="宋体" w:hAnsi="宋体" w:eastAsia="仿宋_GB2312" w:cs="Times New Roman"/>
          <w:sz w:val="32"/>
          <w:szCs w:val="32"/>
        </w:rPr>
        <w:t>单位</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机关运行经费</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宋体" w:hAnsi="宋体" w:eastAsia="仿宋_GB2312" w:cs="Times New Roman"/>
          <w:sz w:val="32"/>
          <w:szCs w:val="32"/>
          <w:lang w:val="en-US" w:eastAsia="zh-CN"/>
        </w:rPr>
        <w:t>96.81</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96.81</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w:t>
      </w: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无国有资产占用情况。</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2"/>
        <w:rPr>
          <w:rFonts w:hint="default" w:eastAsia="楷体"/>
          <w:lang w:val="en-US" w:eastAsia="zh-CN"/>
        </w:rPr>
      </w:pPr>
      <w:r>
        <w:rPr>
          <w:rFonts w:hint="eastAsia" w:ascii="楷体" w:hAnsi="楷体" w:eastAsia="楷体" w:cs="楷体"/>
          <w:spacing w:val="-3"/>
          <w:sz w:val="32"/>
          <w:szCs w:val="32"/>
          <w:lang w:val="en-US" w:eastAsia="zh-CN"/>
        </w:rPr>
        <w:t>我单位无绩效管理。</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NjZiNzBiMTkwNDk5NGRkYzVhZTRhZGZjNDA5ZGYifQ=="/>
  </w:docVars>
  <w:rsids>
    <w:rsidRoot w:val="7E3F0B7D"/>
    <w:rsid w:val="000014A7"/>
    <w:rsid w:val="00052B5B"/>
    <w:rsid w:val="00137022"/>
    <w:rsid w:val="00774AFB"/>
    <w:rsid w:val="00E4217F"/>
    <w:rsid w:val="013411D3"/>
    <w:rsid w:val="0E115DFD"/>
    <w:rsid w:val="10730885"/>
    <w:rsid w:val="11D27EAE"/>
    <w:rsid w:val="20D97C1B"/>
    <w:rsid w:val="23553F43"/>
    <w:rsid w:val="299664C8"/>
    <w:rsid w:val="305710C8"/>
    <w:rsid w:val="308A304E"/>
    <w:rsid w:val="3F28132A"/>
    <w:rsid w:val="415171DC"/>
    <w:rsid w:val="42B844A8"/>
    <w:rsid w:val="49221B6F"/>
    <w:rsid w:val="4D34194E"/>
    <w:rsid w:val="51CF2FBD"/>
    <w:rsid w:val="5D1C19F8"/>
    <w:rsid w:val="6544153D"/>
    <w:rsid w:val="68CD37BD"/>
    <w:rsid w:val="6C940C35"/>
    <w:rsid w:val="6DA249AA"/>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2556</Words>
  <Characters>2747</Characters>
  <Lines>5</Lines>
  <Paragraphs>7</Paragraphs>
  <TotalTime>23</TotalTime>
  <ScaleCrop>false</ScaleCrop>
  <LinksUpToDate>false</LinksUpToDate>
  <CharactersWithSpaces>2792</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2022-09-15T01:45:02Z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4F36B48BDEC341E391FFDDF9A0584325</vt:lpwstr>
  </property>
</Properties>
</file>