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lang w:eastAsia="zh-CN"/>
        </w:rPr>
        <w:t>朔州市朔城区审计局</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w:t>
      </w:r>
    </w:p>
    <w:p>
      <w:pPr>
        <w:jc w:val="center"/>
        <w:rPr>
          <w:rFonts w:ascii="黑体" w:eastAsia="黑体"/>
          <w:sz w:val="44"/>
          <w:szCs w:val="44"/>
        </w:rPr>
      </w:pPr>
      <w:r>
        <w:rPr>
          <w:rFonts w:hint="eastAsia" w:ascii="黑体" w:eastAsia="黑体"/>
          <w:sz w:val="44"/>
          <w:szCs w:val="44"/>
        </w:rPr>
        <w:t>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主管全区审计工作。负责对区财政收支和法律法规规定属于审计监督范围的财务收支的真实、合法和效益进行审计监督，对公共资金、国有资产、国有资源和领导干部履行经济责任情况实行审计全覆盖，对领导干部实行自然资源资产离任审计，对国家和区有关重大政策措施贯彻落实情况进行跟踪审计。对审计、专项审计调查和核查社会审计机构相关审计报告的结果承担责任，并负有督促被审计单位整改的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2.制定并组织实施全区审计工作发展规划和专业领域审计工作规划,制定并组织实施年度审计计划。对直接审计、专项审计、审计调查和核查的事项依法进行审计评价，做出审计决定或提出审计建议。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向区委审计委员会提出年度区级预算执行和其他财政支出情况的审计报告。向区长提出年度区级预算执行和其他财政收支情况的审计结果报告；受区人民政府委托向区人大常委会提出区级预算执行和其他财政收支情况的审计工作报告、审计查出问题整改情况报告。向区委、区人民政府报告对其他事项的审计和专项审计调查情况及结果。依法向社会公布审计结果。向区人民政府有关部门和乡镇人民政府通报审计情况和审计结果。</w:t>
      </w:r>
    </w:p>
    <w:p>
      <w:pPr>
        <w:ind w:firstLine="640" w:firstLineChars="200"/>
        <w:rPr>
          <w:rFonts w:hint="eastAsia" w:ascii="宋体" w:hAnsi="宋体" w:cs="宋体"/>
          <w:sz w:val="28"/>
          <w:szCs w:val="28"/>
        </w:rPr>
      </w:pPr>
      <w:r>
        <w:rPr>
          <w:rFonts w:hint="eastAsia" w:ascii="仿宋" w:hAnsi="仿宋" w:eastAsia="仿宋" w:cs="仿宋"/>
          <w:sz w:val="32"/>
          <w:szCs w:val="32"/>
        </w:rPr>
        <w:t>（二）部门机构设置：秘书股（区委审计委员会办公室秘书股）、财政审计股、行政事业审计股、农业农村与自然资源环境保护股、金融、经贸审计股、经济责任审计股，从预算单位构成看，本单位部门决算只包括：本级部门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highlight w:val="none"/>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643.64</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643.64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150.83</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150.83</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增加外聘人员工资、审计项目专项经费等项目。</w:t>
      </w:r>
    </w:p>
    <w:p>
      <w:pPr>
        <w:spacing w:line="204" w:lineRule="auto"/>
        <w:jc w:val="left"/>
        <w:rPr>
          <w:rFonts w:ascii="楷体" w:hAnsi="楷体" w:eastAsia="楷体" w:cs="楷体"/>
          <w:spacing w:val="-2"/>
          <w:sz w:val="32"/>
          <w:szCs w:val="32"/>
          <w:highlight w:val="none"/>
        </w:rPr>
      </w:pPr>
      <w:r>
        <w:rPr>
          <w:rFonts w:hint="eastAsia" w:ascii="楷体" w:hAnsi="楷体" w:eastAsia="楷体" w:cs="楷体"/>
          <w:spacing w:val="-3"/>
          <w:sz w:val="32"/>
          <w:szCs w:val="32"/>
          <w:highlight w:val="none"/>
        </w:rPr>
        <w:t>二、</w:t>
      </w:r>
      <w:r>
        <w:rPr>
          <w:rFonts w:ascii="楷体" w:hAnsi="楷体" w:eastAsia="楷体" w:cs="楷体"/>
          <w:spacing w:val="-3"/>
          <w:sz w:val="32"/>
          <w:szCs w:val="32"/>
          <w:highlight w:val="none"/>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625.62</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621.48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万元；其他收入4.14万元。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643.64</w:t>
      </w:r>
      <w:r>
        <w:rPr>
          <w:rFonts w:hint="eastAsia" w:ascii="宋体" w:hAnsi="宋体" w:eastAsia="仿宋_GB2312" w:cs="Times New Roman"/>
          <w:sz w:val="32"/>
          <w:szCs w:val="32"/>
        </w:rPr>
        <w:t>万元 ，其中：基本支出</w:t>
      </w:r>
      <w:r>
        <w:rPr>
          <w:rFonts w:hint="eastAsia" w:ascii="仿宋" w:hAnsi="仿宋" w:eastAsia="仿宋" w:cs="仿宋"/>
          <w:sz w:val="32"/>
          <w:szCs w:val="32"/>
        </w:rPr>
        <w:t>343.87</w:t>
      </w:r>
      <w:r>
        <w:rPr>
          <w:rFonts w:hint="eastAsia" w:ascii="宋体" w:hAnsi="宋体" w:eastAsia="仿宋_GB2312" w:cs="Times New Roman"/>
          <w:sz w:val="32"/>
          <w:szCs w:val="32"/>
        </w:rPr>
        <w:t>万元 ；项目支出</w:t>
      </w:r>
      <w:r>
        <w:rPr>
          <w:rFonts w:hint="eastAsia" w:ascii="仿宋" w:hAnsi="仿宋" w:eastAsia="仿宋" w:cs="仿宋"/>
          <w:sz w:val="32"/>
          <w:szCs w:val="32"/>
        </w:rPr>
        <w:t>299.77</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rPr>
        <w:t>621.48</w:t>
      </w:r>
      <w:r>
        <w:rPr>
          <w:rFonts w:hint="eastAsia" w:ascii="宋体" w:hAnsi="宋体" w:eastAsia="仿宋_GB2312" w:cs="Times New Roman"/>
          <w:sz w:val="32"/>
          <w:szCs w:val="32"/>
        </w:rPr>
        <w:t xml:space="preserve">万元、支出总计621.48万元。与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151.84</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32.33</w:t>
      </w:r>
      <w:r>
        <w:rPr>
          <w:rFonts w:hint="eastAsia" w:ascii="宋体" w:hAnsi="宋体" w:eastAsia="仿宋_GB2312" w:cs="Times New Roman"/>
          <w:sz w:val="32"/>
          <w:szCs w:val="32"/>
        </w:rPr>
        <w:t>%。</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增加外聘人员工资、审计项目专项经费等项目。</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sz w:val="32"/>
          <w:szCs w:val="32"/>
          <w:highlight w:val="none"/>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621.48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151.84</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增加外聘人员工资、审计项目专项经费等项目。</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621.48</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2010801行政运行446.69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71.88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2010802</w:t>
      </w:r>
      <w:r>
        <w:rPr>
          <w:rFonts w:hint="eastAsia" w:ascii="宋体" w:hAnsi="宋体" w:eastAsia="仿宋_GB2312" w:cs="Times New Roman"/>
          <w:sz w:val="32"/>
          <w:szCs w:val="32"/>
        </w:rPr>
        <w:t>一般行政管理事务</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3.22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,2010803机关服务136.73万元，占22.02%，2080801死亡抚恤18.06万元，占2.9%</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rPr>
        <w:t>621.48</w:t>
      </w:r>
      <w:r>
        <w:rPr>
          <w:rFonts w:hint="eastAsia" w:ascii="宋体" w:hAnsi="宋体" w:eastAsia="仿宋_GB2312" w:cs="Times New Roman"/>
          <w:sz w:val="32"/>
          <w:szCs w:val="32"/>
        </w:rPr>
        <w:t>万元，支出决算为</w:t>
      </w:r>
      <w:r>
        <w:rPr>
          <w:rFonts w:hint="eastAsia" w:ascii="仿宋" w:hAnsi="仿宋" w:eastAsia="仿宋" w:cs="仿宋"/>
          <w:sz w:val="32"/>
          <w:szCs w:val="32"/>
        </w:rPr>
        <w:t>621.48</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z w:val="32"/>
          <w:szCs w:val="32"/>
        </w:rPr>
        <w:t>343.87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322.77</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307.85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14.92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21.09</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21.09</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1.2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由于</w:t>
      </w:r>
      <w:r>
        <w:rPr>
          <w:rFonts w:hint="eastAsia" w:ascii="宋体" w:hAnsi="宋体" w:eastAsia="仿宋_GB2312" w:cs="Times New Roman"/>
          <w:sz w:val="32"/>
          <w:szCs w:val="32"/>
          <w:lang w:val="en-US" w:eastAsia="zh-CN"/>
        </w:rPr>
        <w:t>2021年末财务人员误报决算三公经费预算数，实际预算数为1.2万元，与决算相比无变化</w:t>
      </w:r>
      <w:bookmarkStart w:id="22" w:name="_GoBack"/>
      <w:bookmarkEnd w:id="22"/>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决算数相比无变动</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1.2</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21.09</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9.56</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31.19</w:t>
      </w:r>
      <w:r>
        <w:rPr>
          <w:rFonts w:hint="eastAsia" w:ascii="宋体" w:hAnsi="宋体" w:eastAsia="仿宋_GB2312" w:cs="Times New Roman"/>
          <w:sz w:val="32"/>
          <w:szCs w:val="32"/>
        </w:rPr>
        <w:t>%，主要原因是本年财政压减支出，人员经费预算减少。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32.35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32.35</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本部门当年未开展绩效管理工作。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E115DFD"/>
    <w:rsid w:val="11D27EAE"/>
    <w:rsid w:val="124F756A"/>
    <w:rsid w:val="143E0F22"/>
    <w:rsid w:val="15E664E5"/>
    <w:rsid w:val="20D97C1B"/>
    <w:rsid w:val="23553F43"/>
    <w:rsid w:val="299664C8"/>
    <w:rsid w:val="2B246D4A"/>
    <w:rsid w:val="2C376417"/>
    <w:rsid w:val="31027894"/>
    <w:rsid w:val="3D0B188E"/>
    <w:rsid w:val="3F28132A"/>
    <w:rsid w:val="49221B6F"/>
    <w:rsid w:val="5D8D4D91"/>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24</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2022-09-13T08:23:15Z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