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朔城区</w:t>
      </w:r>
      <w:r>
        <w:rPr>
          <w:rFonts w:hint="eastAsia" w:ascii="黑体" w:eastAsia="黑体"/>
          <w:sz w:val="44"/>
          <w:szCs w:val="44"/>
          <w:lang w:eastAsia="zh-CN"/>
        </w:rPr>
        <w:t>数字政府</w:t>
      </w:r>
      <w:r>
        <w:rPr>
          <w:rFonts w:hint="eastAsia" w:ascii="黑体" w:eastAsia="黑体"/>
          <w:sz w:val="44"/>
          <w:szCs w:val="44"/>
        </w:rPr>
        <w:t>服务中心202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、拟定全区</w:t>
      </w:r>
      <w:r>
        <w:fldChar w:fldCharType="begin"/>
      </w:r>
      <w:r>
        <w:instrText xml:space="preserve"> HYPERLINK "https://www.baidu.com/s?wd=%E6%94%BF%E5%8A%A1%E5%85%AC%E5%BC%80&amp;tn=44039180_cpr&amp;fenlei=mv6quAkxTZn0IZRqIHckPjm4nH00T1Y4PH6knyRsPA7huyN-m1D30ZwV5Hcvrjm3rH6sPfKWUMw85HfYnjn4nH6sgvPsT6KdThsqpZwYTjCEQLGCpyw9Uz4Bmy-bIi4WUvYETgN-TLwGUv3EnHTLPHDvPjc4PjbYP1bsrHcY" </w:instrText>
      </w:r>
      <w:r>
        <w:fldChar w:fldCharType="separate"/>
      </w:r>
      <w:r>
        <w:rPr>
          <w:rFonts w:hint="eastAsia" w:ascii="宋体" w:hAnsi="宋体" w:eastAsia="仿宋_GB2312"/>
          <w:sz w:val="32"/>
          <w:szCs w:val="32"/>
        </w:rPr>
        <w:t>政务公开</w:t>
      </w:r>
      <w:r>
        <w:rPr>
          <w:rFonts w:hint="eastAsia" w:ascii="宋体" w:hAnsi="宋体" w:eastAsia="仿宋_GB2312"/>
          <w:sz w:val="32"/>
          <w:szCs w:val="32"/>
        </w:rPr>
        <w:fldChar w:fldCharType="end"/>
      </w:r>
      <w:r>
        <w:rPr>
          <w:rFonts w:hint="eastAsia" w:ascii="宋体" w:hAnsi="宋体" w:eastAsia="仿宋_GB2312"/>
          <w:sz w:val="32"/>
          <w:szCs w:val="32"/>
        </w:rPr>
        <w:t>工作和政务服务机构内部建设规划，并组织实施。</w:t>
      </w:r>
    </w:p>
    <w:p>
      <w:pPr>
        <w:spacing w:line="204" w:lineRule="auto"/>
        <w:ind w:firstLine="640" w:firstLineChars="200"/>
        <w:jc w:val="left"/>
        <w:rPr>
          <w:rFonts w:ascii="宋体" w:hAnsi="宋体" w:eastAsia="仿宋_GB2312"/>
          <w:sz w:val="32"/>
          <w:szCs w:val="32"/>
        </w:rPr>
      </w:pPr>
      <w:r>
        <w:rPr>
          <w:rFonts w:ascii="宋体" w:hAnsi="宋体" w:eastAsia="仿宋_GB2312"/>
          <w:sz w:val="32"/>
          <w:szCs w:val="32"/>
        </w:rPr>
        <w:t> 2</w:t>
      </w:r>
      <w:r>
        <w:rPr>
          <w:rFonts w:hint="eastAsia" w:ascii="宋体" w:hAnsi="宋体" w:eastAsia="仿宋_GB2312"/>
          <w:sz w:val="32"/>
          <w:szCs w:val="32"/>
        </w:rPr>
        <w:t>、负责提供本区政务咨询服务，协调督办中心政务窗口各类行政许可事项的受理、审批、反馈。</w:t>
      </w:r>
    </w:p>
    <w:p>
      <w:pPr>
        <w:ind w:firstLine="640" w:firstLineChars="200"/>
        <w:rPr>
          <w:rFonts w:ascii="仿宋" w:hAnsi="仿宋" w:eastAsia="仿宋" w:cs="仿宋"/>
          <w:sz w:val="32"/>
          <w:szCs w:val="32"/>
        </w:rPr>
      </w:pPr>
      <w:r>
        <w:rPr>
          <w:rFonts w:ascii="宋体" w:hAnsi="宋体" w:eastAsia="仿宋_GB2312"/>
          <w:sz w:val="32"/>
          <w:szCs w:val="32"/>
        </w:rPr>
        <w:t xml:space="preserve">   3</w:t>
      </w:r>
      <w:r>
        <w:rPr>
          <w:rFonts w:hint="eastAsia" w:ascii="宋体" w:hAnsi="宋体" w:eastAsia="仿宋_GB2312"/>
          <w:sz w:val="32"/>
          <w:szCs w:val="32"/>
        </w:rPr>
        <w:t>、负责全区</w:t>
      </w:r>
      <w:r>
        <w:fldChar w:fldCharType="begin"/>
      </w:r>
      <w:r>
        <w:instrText xml:space="preserve"> HYPERLINK "https://www.baidu.com/s?wd=%E6%94%BF%E5%8A%A1%E5%85%AC%E5%BC%80&amp;tn=44039180_cpr&amp;fenlei=mv6quAkxTZn0IZRqIHckPjm4nH00T1Y4PH6knyRsPA7huyN-m1D30ZwV5Hcvrjm3rH6sPfKWUMw85HfYnjn4nH6sgvPsT6KdThsqpZwYTjCEQLGCpyw9Uz4Bmy-bIi4WUvYETgN-TLwGUv3EnHTLPHDvPjc4PjbYP1bsrHcY" </w:instrText>
      </w:r>
      <w:r>
        <w:fldChar w:fldCharType="separate"/>
      </w:r>
      <w:r>
        <w:rPr>
          <w:rFonts w:hint="eastAsia" w:ascii="宋体" w:hAnsi="宋体" w:eastAsia="仿宋_GB2312"/>
          <w:sz w:val="32"/>
          <w:szCs w:val="32"/>
        </w:rPr>
        <w:t>政务公开</w:t>
      </w:r>
      <w:r>
        <w:rPr>
          <w:rFonts w:hint="eastAsia" w:ascii="宋体" w:hAnsi="宋体" w:eastAsia="仿宋_GB2312"/>
          <w:sz w:val="32"/>
          <w:szCs w:val="32"/>
        </w:rPr>
        <w:fldChar w:fldCharType="end"/>
      </w:r>
      <w:r>
        <w:rPr>
          <w:rFonts w:hint="eastAsia" w:ascii="宋体" w:hAnsi="宋体" w:eastAsia="仿宋_GB2312"/>
          <w:sz w:val="32"/>
          <w:szCs w:val="32"/>
        </w:rPr>
        <w:t>、政府信息公开、公共企事业单位办事公开的指导、协调、服务、监督和考核等工作。</w:t>
      </w:r>
      <w:r>
        <w:rPr>
          <w:rFonts w:ascii="宋体" w:hAnsi="宋体" w:eastAsia="仿宋_GB2312"/>
          <w:sz w:val="32"/>
          <w:szCs w:val="32"/>
        </w:rPr>
        <w:br w:type="textWrapping"/>
      </w:r>
      <w:r>
        <w:rPr>
          <w:rFonts w:ascii="宋体" w:hAnsi="宋体" w:eastAsia="仿宋_GB2312"/>
          <w:sz w:val="32"/>
          <w:szCs w:val="32"/>
        </w:rPr>
        <w:t>     4</w:t>
      </w:r>
      <w:r>
        <w:rPr>
          <w:rFonts w:hint="eastAsia" w:ascii="宋体" w:hAnsi="宋体" w:eastAsia="仿宋_GB2312"/>
          <w:sz w:val="32"/>
          <w:szCs w:val="32"/>
        </w:rPr>
        <w:t>、负责中心政务窗口工作人员的管理、监督和考核工作，受理、交办、督办中心政务窗口行政效能投诉。</w:t>
      </w:r>
      <w:r>
        <w:rPr>
          <w:rFonts w:ascii="宋体" w:hAnsi="宋体" w:eastAsia="仿宋_GB2312"/>
          <w:sz w:val="32"/>
          <w:szCs w:val="32"/>
        </w:rPr>
        <w:br w:type="textWrapping"/>
      </w:r>
      <w:r>
        <w:rPr>
          <w:rFonts w:ascii="宋体" w:hAnsi="宋体" w:eastAsia="仿宋_GB2312"/>
          <w:sz w:val="32"/>
          <w:szCs w:val="32"/>
        </w:rPr>
        <w:t>     5</w:t>
      </w:r>
      <w:r>
        <w:rPr>
          <w:rFonts w:hint="eastAsia" w:ascii="宋体" w:hAnsi="宋体" w:eastAsia="仿宋_GB2312"/>
          <w:sz w:val="32"/>
          <w:szCs w:val="32"/>
        </w:rPr>
        <w:t>、负责提供有关行政许可事项及政务服务事项的带领代办服务。</w:t>
      </w:r>
      <w:r>
        <w:rPr>
          <w:rFonts w:ascii="宋体" w:hAnsi="宋体" w:eastAsia="仿宋_GB2312"/>
          <w:sz w:val="32"/>
          <w:szCs w:val="32"/>
        </w:rPr>
        <w:br w:type="textWrapping"/>
      </w:r>
      <w:r>
        <w:rPr>
          <w:rFonts w:ascii="宋体" w:hAnsi="宋体" w:eastAsia="仿宋_GB2312"/>
          <w:sz w:val="32"/>
          <w:szCs w:val="32"/>
        </w:rPr>
        <w:t>     6</w:t>
      </w:r>
      <w:r>
        <w:rPr>
          <w:rFonts w:hint="eastAsia" w:ascii="宋体" w:hAnsi="宋体" w:eastAsia="仿宋_GB2312"/>
          <w:sz w:val="32"/>
          <w:szCs w:val="32"/>
        </w:rPr>
        <w:t>、承办区委、区人民政府交办的其他事项。</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pPr>
      <w:r>
        <w:rPr>
          <w:rFonts w:hint="eastAsia" w:ascii="宋体" w:hAnsi="宋体" w:eastAsia="仿宋_GB2312"/>
          <w:sz w:val="32"/>
          <w:szCs w:val="32"/>
        </w:rPr>
        <w:t>本单位内设</w:t>
      </w:r>
      <w:r>
        <w:rPr>
          <w:rFonts w:ascii="宋体" w:hAnsi="宋体" w:eastAsia="仿宋_GB2312"/>
          <w:sz w:val="32"/>
          <w:szCs w:val="32"/>
        </w:rPr>
        <w:t>4</w:t>
      </w:r>
      <w:r>
        <w:rPr>
          <w:rFonts w:hint="eastAsia" w:ascii="宋体" w:hAnsi="宋体" w:eastAsia="仿宋_GB2312"/>
          <w:sz w:val="32"/>
          <w:szCs w:val="32"/>
        </w:rPr>
        <w:t>个科室，</w:t>
      </w:r>
      <w:r>
        <w:rPr>
          <w:rFonts w:hint="eastAsia" w:ascii="仿宋_GB2312" w:eastAsia="仿宋_GB2312"/>
          <w:bCs/>
          <w:sz w:val="32"/>
          <w:szCs w:val="32"/>
        </w:rPr>
        <w:t>我单位为二级单位，无下属单位。</w:t>
      </w:r>
      <w:r>
        <w:rPr>
          <w:rFonts w:hint="eastAsia" w:ascii="宋体" w:hAnsi="宋体" w:eastAsia="仿宋_GB2312"/>
          <w:sz w:val="32"/>
          <w:szCs w:val="32"/>
        </w:rPr>
        <w:t>从预算单位构成看，朔城区</w:t>
      </w:r>
      <w:r>
        <w:rPr>
          <w:rFonts w:hint="eastAsia" w:ascii="宋体" w:hAnsi="宋体" w:eastAsia="仿宋_GB2312"/>
          <w:sz w:val="32"/>
          <w:szCs w:val="32"/>
          <w:lang w:eastAsia="zh-CN"/>
        </w:rPr>
        <w:t>数字政府</w:t>
      </w:r>
      <w:r>
        <w:rPr>
          <w:rFonts w:hint="eastAsia" w:ascii="宋体" w:hAnsi="宋体" w:eastAsia="仿宋_GB2312"/>
          <w:sz w:val="32"/>
          <w:szCs w:val="32"/>
        </w:rPr>
        <w:t>服务中心单位部门决算包括：本级决算</w:t>
      </w:r>
      <w:r>
        <w:rPr>
          <w:rFonts w:hint="eastAsia" w:ascii="宋体" w:hAnsi="宋体" w:eastAsia="仿宋_GB2312" w:cs="Times New Roman"/>
          <w:sz w:val="32"/>
          <w:szCs w:val="32"/>
        </w:rPr>
        <w:t>。</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391.2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391.2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93.78</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93.78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较上年增加好差评系统建设工程。</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391.2</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391.2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391.2</w:t>
      </w:r>
      <w:r>
        <w:rPr>
          <w:rFonts w:hint="eastAsia" w:ascii="宋体" w:hAnsi="宋体" w:eastAsia="仿宋_GB2312" w:cs="Times New Roman"/>
          <w:sz w:val="32"/>
          <w:szCs w:val="32"/>
        </w:rPr>
        <w:t>万元 ，其中：基本支出</w:t>
      </w:r>
      <w:r>
        <w:rPr>
          <w:rFonts w:hint="eastAsia" w:ascii="仿宋" w:hAnsi="仿宋" w:eastAsia="仿宋" w:cs="仿宋"/>
          <w:sz w:val="32"/>
          <w:szCs w:val="32"/>
        </w:rPr>
        <w:t>53.39</w:t>
      </w:r>
      <w:r>
        <w:rPr>
          <w:rFonts w:hint="eastAsia" w:ascii="宋体" w:hAnsi="宋体" w:eastAsia="仿宋_GB2312" w:cs="Times New Roman"/>
          <w:sz w:val="32"/>
          <w:szCs w:val="32"/>
        </w:rPr>
        <w:t>万元 ；项目支出</w:t>
      </w:r>
      <w:r>
        <w:rPr>
          <w:rFonts w:hint="eastAsia" w:ascii="仿宋" w:hAnsi="仿宋" w:eastAsia="仿宋" w:cs="仿宋"/>
          <w:sz w:val="32"/>
          <w:szCs w:val="32"/>
        </w:rPr>
        <w:t>337.82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rPr>
        <w:t>391.2</w:t>
      </w:r>
      <w:r>
        <w:rPr>
          <w:rFonts w:hint="eastAsia" w:ascii="宋体" w:hAnsi="宋体" w:eastAsia="仿宋_GB2312" w:cs="Times New Roman"/>
          <w:sz w:val="32"/>
          <w:szCs w:val="32"/>
        </w:rPr>
        <w:t xml:space="preserve">万元、支出总计391.2万元。与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93.78</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31.53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较上年增加好差评系统建设工程。</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391.2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93.78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较上年增加好差评系统建设工程。</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391.2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2010303</w:t>
      </w:r>
      <w:r>
        <w:rPr>
          <w:rFonts w:hint="eastAsia" w:ascii="宋体" w:hAnsi="宋体" w:eastAsia="仿宋_GB2312" w:cs="Times New Roman"/>
          <w:sz w:val="32"/>
          <w:szCs w:val="32"/>
        </w:rPr>
        <w:t>政府办公厅（室）及相关机构事务</w:t>
      </w:r>
      <w:r>
        <w:rPr>
          <w:rFonts w:hint="eastAsia" w:ascii="宋体" w:hAnsi="宋体" w:eastAsia="仿宋_GB2312" w:cs="Times New Roman"/>
          <w:sz w:val="32"/>
          <w:szCs w:val="32"/>
          <w:lang w:eastAsia="zh-CN"/>
        </w:rPr>
        <w:t>机关服务</w:t>
      </w:r>
      <w:r>
        <w:rPr>
          <w:rFonts w:hint="eastAsia" w:ascii="宋体" w:hAnsi="宋体" w:eastAsia="仿宋_GB2312" w:cs="Times New Roman"/>
          <w:sz w:val="32"/>
          <w:szCs w:val="32"/>
        </w:rPr>
        <w:t>支出381.21万元，占</w:t>
      </w:r>
      <w:r>
        <w:rPr>
          <w:rFonts w:hint="eastAsia" w:ascii="宋体" w:hAnsi="宋体" w:eastAsia="仿宋_GB2312" w:cs="Times New Roman"/>
          <w:sz w:val="32"/>
          <w:szCs w:val="32"/>
          <w:lang w:val="en-US" w:eastAsia="zh-CN"/>
        </w:rPr>
        <w:t>97.45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2100410</w:t>
      </w:r>
      <w:r>
        <w:rPr>
          <w:rFonts w:hint="eastAsia" w:ascii="宋体" w:hAnsi="宋体" w:eastAsia="仿宋_GB2312" w:cs="Times New Roman"/>
          <w:sz w:val="32"/>
          <w:szCs w:val="32"/>
        </w:rPr>
        <w:t>突发公共卫生事件应急处理支出9.99万元，占</w:t>
      </w:r>
      <w:r>
        <w:rPr>
          <w:rFonts w:hint="eastAsia" w:ascii="宋体" w:hAnsi="宋体" w:eastAsia="仿宋_GB2312" w:cs="Times New Roman"/>
          <w:sz w:val="32"/>
          <w:szCs w:val="32"/>
          <w:lang w:val="en-US" w:eastAsia="zh-CN"/>
        </w:rPr>
        <w:t>2.55</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仿宋" w:hAnsi="仿宋" w:eastAsia="仿宋" w:cs="仿宋"/>
          <w:sz w:val="32"/>
          <w:szCs w:val="32"/>
        </w:rPr>
        <w:t>391.2</w:t>
      </w:r>
      <w:r>
        <w:rPr>
          <w:rFonts w:hint="eastAsia" w:ascii="宋体" w:hAnsi="宋体" w:eastAsia="仿宋_GB2312" w:cs="Times New Roman"/>
          <w:sz w:val="32"/>
          <w:szCs w:val="32"/>
        </w:rPr>
        <w:t>万元，支出决算为</w:t>
      </w:r>
      <w:r>
        <w:rPr>
          <w:rFonts w:hint="eastAsia" w:ascii="仿宋" w:hAnsi="仿宋" w:eastAsia="仿宋" w:cs="仿宋"/>
          <w:sz w:val="32"/>
          <w:szCs w:val="32"/>
        </w:rPr>
        <w:t>391.2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53.39</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51.9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51.9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1.49</w:t>
      </w:r>
      <w:r>
        <w:rPr>
          <w:rFonts w:hint="eastAsia" w:ascii="宋体" w:hAnsi="宋体" w:eastAsia="仿宋_GB2312" w:cs="Times New Roman"/>
          <w:sz w:val="32"/>
          <w:szCs w:val="32"/>
        </w:rPr>
        <w:t>万元，主要包括商品和服务支出1.49万元和资本性支出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sz w:val="32"/>
          <w:szCs w:val="32"/>
        </w:rPr>
        <w:t>本单位为事业单位，无机关运行经费。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rPr>
        <w:t>13</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13</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w:t>
      </w:r>
      <w:r>
        <w:rPr>
          <w:rFonts w:hint="eastAsia" w:ascii="宋体" w:hAnsi="宋体" w:eastAsia="仿宋_GB2312"/>
          <w:sz w:val="32"/>
          <w:szCs w:val="32"/>
        </w:rPr>
        <w:t>本部门共有车辆</w:t>
      </w:r>
      <w:r>
        <w:rPr>
          <w:rFonts w:hint="eastAsia" w:ascii="宋体" w:hAnsi="宋体" w:eastAsia="仿宋_GB2312"/>
          <w:sz w:val="32"/>
          <w:szCs w:val="32"/>
          <w:lang w:val="en-US" w:eastAsia="zh-CN"/>
        </w:rPr>
        <w:t>0</w:t>
      </w:r>
      <w:r>
        <w:rPr>
          <w:rFonts w:hint="eastAsia" w:ascii="宋体" w:hAnsi="宋体" w:eastAsia="仿宋_GB2312"/>
          <w:sz w:val="32"/>
          <w:szCs w:val="32"/>
        </w:rPr>
        <w:t>辆，其中，主要领导干部用车</w:t>
      </w:r>
      <w:r>
        <w:rPr>
          <w:rFonts w:ascii="宋体" w:hAnsi="宋体" w:eastAsia="仿宋_GB2312"/>
          <w:sz w:val="32"/>
          <w:szCs w:val="32"/>
        </w:rPr>
        <w:t>0</w:t>
      </w:r>
      <w:r>
        <w:rPr>
          <w:rFonts w:hint="eastAsia" w:ascii="宋体" w:hAnsi="宋体" w:eastAsia="仿宋_GB2312"/>
          <w:sz w:val="32"/>
          <w:szCs w:val="32"/>
        </w:rPr>
        <w:t>辆、机要通信用车</w:t>
      </w:r>
      <w:r>
        <w:rPr>
          <w:rFonts w:ascii="宋体" w:hAnsi="宋体" w:eastAsia="仿宋_GB2312"/>
          <w:sz w:val="32"/>
          <w:szCs w:val="32"/>
        </w:rPr>
        <w:t>0</w:t>
      </w:r>
      <w:r>
        <w:rPr>
          <w:rFonts w:hint="eastAsia" w:ascii="宋体" w:hAnsi="宋体" w:eastAsia="仿宋_GB2312"/>
          <w:sz w:val="32"/>
          <w:szCs w:val="32"/>
        </w:rPr>
        <w:t>辆、应急保障用车</w:t>
      </w:r>
      <w:r>
        <w:rPr>
          <w:rFonts w:ascii="宋体" w:hAnsi="宋体" w:eastAsia="仿宋_GB2312"/>
          <w:sz w:val="32"/>
          <w:szCs w:val="32"/>
        </w:rPr>
        <w:t>0</w:t>
      </w:r>
      <w:r>
        <w:rPr>
          <w:rFonts w:hint="eastAsia" w:ascii="宋体" w:hAnsi="宋体" w:eastAsia="仿宋_GB2312"/>
          <w:sz w:val="32"/>
          <w:szCs w:val="32"/>
        </w:rPr>
        <w:t>辆、执法执勤用车</w:t>
      </w:r>
      <w:r>
        <w:rPr>
          <w:rFonts w:ascii="宋体" w:hAnsi="宋体" w:eastAsia="仿宋_GB2312"/>
          <w:sz w:val="32"/>
          <w:szCs w:val="32"/>
        </w:rPr>
        <w:t>0</w:t>
      </w:r>
      <w:r>
        <w:rPr>
          <w:rFonts w:hint="eastAsia" w:ascii="宋体" w:hAnsi="宋体" w:eastAsia="仿宋_GB2312"/>
          <w:sz w:val="32"/>
          <w:szCs w:val="32"/>
        </w:rPr>
        <w:t>辆、特</w:t>
      </w:r>
      <w:r>
        <w:rPr>
          <w:rFonts w:ascii="宋体" w:hAnsi="宋体" w:eastAsia="仿宋_GB2312"/>
          <w:sz w:val="32"/>
          <w:szCs w:val="32"/>
        </w:rPr>
        <w:t xml:space="preserve"> </w:t>
      </w:r>
      <w:r>
        <w:rPr>
          <w:rFonts w:hint="eastAsia" w:ascii="宋体" w:hAnsi="宋体" w:eastAsia="仿宋_GB2312"/>
          <w:sz w:val="32"/>
          <w:szCs w:val="32"/>
        </w:rPr>
        <w:t>种专业技术用车</w:t>
      </w:r>
      <w:r>
        <w:rPr>
          <w:rFonts w:ascii="宋体" w:hAnsi="宋体" w:eastAsia="仿宋_GB2312"/>
          <w:sz w:val="32"/>
          <w:szCs w:val="32"/>
        </w:rPr>
        <w:t>0</w:t>
      </w:r>
      <w:r>
        <w:rPr>
          <w:rFonts w:hint="eastAsia" w:ascii="宋体" w:hAnsi="宋体" w:eastAsia="仿宋_GB2312"/>
          <w:sz w:val="32"/>
          <w:szCs w:val="32"/>
        </w:rPr>
        <w:t>辆、离退休干部用车</w:t>
      </w:r>
      <w:r>
        <w:rPr>
          <w:rFonts w:ascii="宋体" w:hAnsi="宋体" w:eastAsia="仿宋_GB2312"/>
          <w:sz w:val="32"/>
          <w:szCs w:val="32"/>
        </w:rPr>
        <w:t>0</w:t>
      </w:r>
      <w:r>
        <w:rPr>
          <w:rFonts w:hint="eastAsia" w:ascii="宋体" w:hAnsi="宋体" w:eastAsia="仿宋_GB2312"/>
          <w:sz w:val="32"/>
          <w:szCs w:val="32"/>
        </w:rPr>
        <w:t>辆、其他用车</w:t>
      </w:r>
      <w:r>
        <w:rPr>
          <w:rFonts w:hint="eastAsia" w:ascii="宋体" w:hAnsi="宋体" w:eastAsia="仿宋_GB2312"/>
          <w:sz w:val="32"/>
          <w:szCs w:val="32"/>
          <w:lang w:val="en-US" w:eastAsia="zh-CN"/>
        </w:rPr>
        <w:t>0</w:t>
      </w:r>
      <w:bookmarkStart w:id="22" w:name="_GoBack"/>
      <w:bookmarkEnd w:id="22"/>
      <w:r>
        <w:rPr>
          <w:rFonts w:hint="eastAsia" w:ascii="宋体" w:hAnsi="宋体" w:eastAsia="仿宋_GB2312"/>
          <w:sz w:val="32"/>
          <w:szCs w:val="32"/>
        </w:rPr>
        <w:t>辆，</w:t>
      </w:r>
      <w:r>
        <w:rPr>
          <w:rFonts w:ascii="宋体" w:hAnsi="宋体" w:eastAsia="仿宋_GB2312"/>
          <w:sz w:val="32"/>
          <w:szCs w:val="32"/>
        </w:rPr>
        <w:t xml:space="preserve"> </w:t>
      </w:r>
      <w:r>
        <w:rPr>
          <w:rFonts w:hint="eastAsia" w:ascii="宋体" w:hAnsi="宋体" w:eastAsia="仿宋_GB2312"/>
          <w:sz w:val="32"/>
          <w:szCs w:val="32"/>
        </w:rPr>
        <w:t>单价</w:t>
      </w:r>
      <w:r>
        <w:rPr>
          <w:rFonts w:ascii="宋体" w:hAnsi="宋体" w:eastAsia="仿宋_GB2312"/>
          <w:sz w:val="32"/>
          <w:szCs w:val="32"/>
        </w:rPr>
        <w:t>50</w:t>
      </w:r>
      <w:r>
        <w:rPr>
          <w:rFonts w:hint="eastAsia" w:ascii="宋体" w:hAnsi="宋体" w:eastAsia="仿宋_GB2312"/>
          <w:sz w:val="32"/>
          <w:szCs w:val="32"/>
        </w:rPr>
        <w:t>万元（含）以上的通用设备</w:t>
      </w:r>
      <w:r>
        <w:rPr>
          <w:rFonts w:ascii="宋体" w:hAnsi="宋体" w:eastAsia="仿宋_GB2312"/>
          <w:sz w:val="32"/>
          <w:szCs w:val="32"/>
        </w:rPr>
        <w:t>0</w:t>
      </w:r>
      <w:r>
        <w:rPr>
          <w:rFonts w:hint="eastAsia" w:ascii="宋体" w:hAnsi="宋体" w:eastAsia="仿宋_GB2312"/>
          <w:sz w:val="32"/>
          <w:szCs w:val="32"/>
        </w:rPr>
        <w:t>台（套），</w:t>
      </w:r>
      <w:r>
        <w:rPr>
          <w:rFonts w:ascii="宋体" w:hAnsi="宋体" w:eastAsia="仿宋_GB2312"/>
          <w:sz w:val="32"/>
          <w:szCs w:val="32"/>
        </w:rPr>
        <w:t xml:space="preserve"> </w:t>
      </w:r>
      <w:r>
        <w:rPr>
          <w:rFonts w:hint="eastAsia" w:ascii="宋体" w:hAnsi="宋体" w:eastAsia="仿宋_GB2312"/>
          <w:sz w:val="32"/>
          <w:szCs w:val="32"/>
        </w:rPr>
        <w:t>单价</w:t>
      </w:r>
      <w:r>
        <w:rPr>
          <w:rFonts w:ascii="宋体" w:hAnsi="宋体" w:eastAsia="仿宋_GB2312"/>
          <w:sz w:val="32"/>
          <w:szCs w:val="32"/>
        </w:rPr>
        <w:t>100</w:t>
      </w:r>
      <w:r>
        <w:rPr>
          <w:rFonts w:hint="eastAsia" w:ascii="宋体" w:hAnsi="宋体" w:eastAsia="仿宋_GB2312"/>
          <w:sz w:val="32"/>
          <w:szCs w:val="32"/>
        </w:rPr>
        <w:t>万元（含）以上专用设备</w:t>
      </w:r>
      <w:r>
        <w:rPr>
          <w:rFonts w:ascii="宋体" w:hAnsi="宋体" w:eastAsia="仿宋_GB2312"/>
          <w:sz w:val="32"/>
          <w:szCs w:val="32"/>
        </w:rPr>
        <w:t>0</w:t>
      </w:r>
      <w:r>
        <w:rPr>
          <w:rFonts w:hint="eastAsia" w:ascii="宋体" w:hAnsi="宋体" w:eastAsia="仿宋_GB2312"/>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176.86</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宋体" w:hAnsi="宋体" w:eastAsia="仿宋_GB2312"/>
          <w:sz w:val="32"/>
          <w:szCs w:val="32"/>
        </w:rPr>
      </w:pPr>
      <w:r>
        <w:rPr>
          <w:rFonts w:hint="eastAsia" w:ascii="宋体" w:hAnsi="宋体" w:eastAsia="仿宋_GB2312"/>
          <w:sz w:val="32"/>
          <w:szCs w:val="32"/>
        </w:rPr>
        <w:t>量入为出，达到收支平衡，实事求是，力保正常运转，定期分析，提高绩效。</w:t>
      </w:r>
    </w:p>
    <w:p>
      <w:pPr>
        <w:widowControl/>
        <w:ind w:firstLine="320" w:firstLineChars="100"/>
        <w:jc w:val="left"/>
        <w:rPr>
          <w:rFonts w:ascii="仿宋_GB2312" w:hAnsi="仿宋_GB2312" w:eastAsia="仿宋_GB2312" w:cs="仿宋_GB2312"/>
          <w:color w:val="000000"/>
          <w:kern w:val="0"/>
          <w:sz w:val="31"/>
          <w:szCs w:val="31"/>
        </w:rPr>
      </w:pPr>
      <w:r>
        <w:rPr>
          <w:rFonts w:ascii="宋体" w:hAnsi="宋体" w:eastAsia="仿宋_GB2312"/>
          <w:sz w:val="32"/>
          <w:szCs w:val="32"/>
        </w:rPr>
        <w:t xml:space="preserve">  </w:t>
      </w:r>
      <w:r>
        <w:rPr>
          <w:rFonts w:hint="eastAsia" w:ascii="宋体" w:hAnsi="宋体" w:eastAsia="仿宋_GB2312"/>
          <w:sz w:val="32"/>
          <w:szCs w:val="32"/>
        </w:rPr>
        <w:t>健全财务管理制度，精打细算，提高资金使用效益。重大经费支出实行一事一议，集体运用评价结果，收支平衡。</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2765A79"/>
    <w:rsid w:val="0DFA49B5"/>
    <w:rsid w:val="0E115DFD"/>
    <w:rsid w:val="11D27EAE"/>
    <w:rsid w:val="20D97C1B"/>
    <w:rsid w:val="23553F43"/>
    <w:rsid w:val="299664C8"/>
    <w:rsid w:val="3F28132A"/>
    <w:rsid w:val="49221B6F"/>
    <w:rsid w:val="60DB5AE7"/>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4</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2022-10-19T10:40:55Z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