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8"/>
          <w:szCs w:val="48"/>
          <w:lang w:val="en-US" w:eastAsia="zh-CN"/>
        </w:rPr>
      </w:pPr>
      <w:r>
        <w:rPr>
          <w:rFonts w:hint="eastAsia"/>
          <w:sz w:val="48"/>
          <w:szCs w:val="48"/>
          <w:lang w:val="en-US" w:eastAsia="zh-CN"/>
        </w:rPr>
        <w:t xml:space="preserve"> </w:t>
      </w:r>
    </w:p>
    <w:p>
      <w:pPr>
        <w:jc w:val="center"/>
        <w:rPr>
          <w:rFonts w:ascii="黑体" w:eastAsia="黑体"/>
          <w:sz w:val="44"/>
          <w:szCs w:val="44"/>
        </w:rPr>
      </w:pPr>
      <w:r>
        <w:rPr>
          <w:rFonts w:hint="eastAsia" w:ascii="黑体" w:eastAsia="黑体"/>
          <w:sz w:val="44"/>
          <w:szCs w:val="44"/>
          <w:lang w:eastAsia="zh-CN"/>
        </w:rPr>
        <w:t>朔州市朔城区信访局</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204" w:lineRule="auto"/>
        <w:ind w:firstLine="667"/>
        <w:jc w:val="left"/>
        <w:rPr>
          <w:rFonts w:hint="eastAsia" w:ascii="宋体" w:hAnsi="宋体" w:eastAsia="仿宋_GB2312" w:cs="Times New Roman"/>
          <w:sz w:val="32"/>
          <w:szCs w:val="32"/>
        </w:rPr>
      </w:pPr>
      <w:r>
        <w:rPr>
          <w:rFonts w:hint="eastAsia" w:ascii="仿宋" w:hAnsi="仿宋" w:eastAsia="仿宋" w:cs="仿宋"/>
          <w:sz w:val="32"/>
          <w:szCs w:val="32"/>
        </w:rPr>
        <w:t>1、</w:t>
      </w:r>
      <w:r>
        <w:rPr>
          <w:rFonts w:hint="eastAsia" w:ascii="宋体" w:hAnsi="宋体" w:eastAsia="仿宋_GB2312" w:cs="Times New Roman"/>
          <w:sz w:val="32"/>
          <w:szCs w:val="32"/>
        </w:rPr>
        <w:t>负责接待群众来访，处理群众来信来电，及时、准确地向区委、区政府领导反映来信、来电、来访中提出的重要建议、意见和问题。综合分析信访信息，开展调查研究，提出制定有关方针、政策的建议。</w:t>
      </w:r>
      <w:r>
        <w:rPr>
          <w:rFonts w:hint="eastAsia" w:ascii="宋体" w:hAnsi="宋体" w:eastAsia="仿宋_GB2312" w:cs="Times New Roman"/>
          <w:sz w:val="32"/>
          <w:szCs w:val="32"/>
        </w:rPr>
        <w:br w:type="textWrapping"/>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2、承办国家、省、市及区委、区政府交办的信访事项。</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3、协调处理跨区域、跨部门的重要信访事项,协调处理群众来区上访和异常、突发信访事件。</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z w:val="32"/>
          <w:szCs w:val="32"/>
        </w:rPr>
        <w:t>4、协调指导全区各乡镇、区直各部门的信访工作。</w:t>
      </w:r>
      <w:r>
        <w:rPr>
          <w:rFonts w:hint="eastAsia" w:ascii="宋体" w:hAnsi="宋体" w:eastAsia="仿宋_GB2312" w:cs="Times New Roman"/>
          <w:sz w:val="32"/>
          <w:szCs w:val="32"/>
        </w:rPr>
        <w:br w:type="textWrapping"/>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5、了解并掌握信访工作队伍建设情况，组织信访干部培训，指导全区信访部门办公自动化建设和全区信访信息系统建设及推广信访信息系统应用工作。</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6、负责全区进京赴省非正常上访案件依法处理和非正常上访人员劝返接回情况的督查、通报等事项。</w:t>
      </w:r>
      <w:r>
        <w:rPr>
          <w:rFonts w:hint="eastAsia" w:ascii="宋体" w:hAnsi="宋体" w:eastAsia="仿宋_GB2312" w:cs="Times New Roman"/>
          <w:sz w:val="32"/>
          <w:szCs w:val="32"/>
        </w:rPr>
        <w:br w:type="textWrapping"/>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7、承办国家、省及市联席办转交的重信重访案件及重要信访事项。</w:t>
      </w:r>
      <w:r>
        <w:rPr>
          <w:rFonts w:hint="eastAsia" w:ascii="宋体" w:hAnsi="宋体" w:eastAsia="仿宋_GB2312" w:cs="Times New Roman"/>
          <w:sz w:val="32"/>
          <w:szCs w:val="32"/>
        </w:rPr>
        <w:br w:type="textWrapping"/>
      </w:r>
      <w:r>
        <w:rPr>
          <w:rFonts w:hint="eastAsia" w:ascii="宋体" w:hAnsi="宋体" w:eastAsia="仿宋_GB2312" w:cs="Times New Roman"/>
          <w:sz w:val="32"/>
          <w:szCs w:val="32"/>
        </w:rPr>
        <w:t xml:space="preserve">  </w:t>
      </w: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8、承办区委、区政府交办的其它事项</w:t>
      </w:r>
      <w:r>
        <w:rPr>
          <w:rFonts w:hint="eastAsia" w:ascii="宋体" w:hAnsi="宋体" w:eastAsia="仿宋_GB2312" w:cs="Times New Roman"/>
          <w:sz w:val="32"/>
          <w:szCs w:val="32"/>
          <w:lang w:eastAsia="zh-CN"/>
        </w:rPr>
        <w:t>。</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eastAsia="zh-CN"/>
        </w:rPr>
        <w:t>三</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朔城区信访局</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度收入总计</w:t>
      </w:r>
      <w:r>
        <w:rPr>
          <w:rFonts w:hint="eastAsia" w:ascii="宋体" w:hAnsi="宋体" w:eastAsia="仿宋_GB2312" w:cs="Times New Roman"/>
          <w:sz w:val="32"/>
          <w:szCs w:val="32"/>
          <w:lang w:val="en-US" w:eastAsia="zh-CN"/>
        </w:rPr>
        <w:t>691.57</w:t>
      </w:r>
      <w:r>
        <w:rPr>
          <w:rFonts w:hint="eastAsia" w:ascii="宋体" w:hAnsi="宋体" w:eastAsia="仿宋_GB2312" w:cs="Times New Roman"/>
          <w:sz w:val="32"/>
          <w:szCs w:val="32"/>
        </w:rPr>
        <w:t>万元 、 支出总计</w:t>
      </w:r>
      <w:r>
        <w:rPr>
          <w:rFonts w:hint="eastAsia" w:ascii="宋体" w:hAnsi="宋体" w:eastAsia="仿宋_GB2312" w:cs="Times New Roman"/>
          <w:sz w:val="32"/>
          <w:szCs w:val="32"/>
          <w:lang w:val="en-US" w:eastAsia="zh-CN"/>
        </w:rPr>
        <w:t>691.57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250.01</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250.01</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1、2021年垫付优锐智、优依学等教育机构353名学生学费共计124.36万元。2、2021年两名离休人员去世，增加丧葬费40.17万元。3、2021年新招录两名公务员，工资及社保费用增加。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691.5</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691.51</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75.67</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615.84</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690.49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仿宋" w:hAnsi="仿宋" w:eastAsia="仿宋" w:cs="仿宋"/>
          <w:spacing w:val="-34"/>
          <w:sz w:val="32"/>
          <w:szCs w:val="32"/>
          <w:lang w:val="en-US" w:eastAsia="zh-CN"/>
        </w:rPr>
        <w:t>259.39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60.17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1、2021年垫付优锐智、优依学等教育机构353名学生学费共计124.36万元。2、2021年两名离休人员去世，增加丧葬费40.17万元。3、2021年新招录两名公务员，工资及社保费用增加。</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259.39</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1、2021年垫付优锐智、优依学等教育机构353名学生学费共计124.36万元。2、2021年两名离休人员去世，增加丧葬费40.17万元。3、2021年新招录两名公务员，工资及社保费用增加。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lang w:val="en-US" w:eastAsia="zh-CN"/>
        </w:rPr>
        <w:t>2010301</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81.9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11.86</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信访事务（</w:t>
      </w:r>
      <w:r>
        <w:rPr>
          <w:rFonts w:hint="eastAsia" w:ascii="宋体" w:hAnsi="宋体" w:eastAsia="仿宋_GB2312" w:cs="Times New Roman"/>
          <w:sz w:val="32"/>
          <w:szCs w:val="32"/>
          <w:lang w:val="en-US" w:eastAsia="zh-CN"/>
        </w:rPr>
        <w:t>2010308</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567.23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82.15</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死亡抚恤（</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lang w:eastAsia="zh-CN"/>
        </w:rPr>
        <w:t>）科目</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40.17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5.82</w:t>
      </w:r>
      <w:r>
        <w:rPr>
          <w:rFonts w:hint="eastAsia" w:ascii="宋体" w:hAnsi="宋体" w:eastAsia="仿宋_GB2312" w:cs="Times New Roman"/>
          <w:sz w:val="32"/>
          <w:szCs w:val="32"/>
        </w:rPr>
        <w:t>%；其他支出</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2299999</w:t>
      </w:r>
      <w:r>
        <w:rPr>
          <w:rFonts w:hint="eastAsia" w:ascii="宋体" w:hAnsi="宋体" w:eastAsia="仿宋_GB2312" w:cs="Times New Roman"/>
          <w:sz w:val="32"/>
          <w:szCs w:val="32"/>
          <w:lang w:eastAsia="zh-CN"/>
        </w:rPr>
        <w:t>）科目支出</w:t>
      </w:r>
      <w:r>
        <w:rPr>
          <w:rFonts w:hint="eastAsia" w:ascii="宋体" w:hAnsi="宋体" w:eastAsia="仿宋_GB2312" w:cs="Times New Roman"/>
          <w:sz w:val="32"/>
          <w:szCs w:val="32"/>
          <w:lang w:val="en-US" w:eastAsia="zh-CN"/>
        </w:rPr>
        <w:t>1.2万元，占0.17%</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690.49</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74.66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68.82</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58.38</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10.44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5.84</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5.84</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“三公”经费</w:t>
      </w:r>
      <w:r>
        <w:rPr>
          <w:rFonts w:hint="eastAsia" w:ascii="宋体" w:hAnsi="宋体" w:eastAsia="仿宋_GB2312" w:cs="Times New Roman"/>
          <w:sz w:val="32"/>
          <w:szCs w:val="32"/>
          <w:lang w:eastAsia="zh-CN"/>
        </w:rPr>
        <w:t>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政府性基金预算。</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5.84</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减少</w:t>
      </w:r>
      <w:r>
        <w:rPr>
          <w:rFonts w:hint="eastAsia" w:ascii="宋体" w:hAnsi="宋体" w:eastAsia="仿宋_GB2312" w:cs="Times New Roman"/>
          <w:sz w:val="32"/>
          <w:szCs w:val="32"/>
          <w:lang w:val="en-US" w:eastAsia="zh-CN"/>
        </w:rPr>
        <w:t>0.01万元。</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10.03</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0.74</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9.29</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608.6</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，分别为信访维稳经费</w:t>
      </w:r>
      <w:r>
        <w:rPr>
          <w:rFonts w:hint="eastAsia" w:ascii="宋体" w:hAnsi="宋体" w:eastAsia="仿宋_GB2312" w:cs="Times New Roman"/>
          <w:sz w:val="32"/>
          <w:szCs w:val="32"/>
          <w:lang w:val="en-US" w:eastAsia="zh-CN"/>
        </w:rPr>
        <w:t>567.23万元，离休人员死亡抚恤抚恤金40.17万元，公务员考核奖1.2万元</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年初根据各项目实际情况，分别制定了年初绩效目标并设置相关绩效指标。</w:t>
      </w:r>
      <w:r>
        <w:rPr>
          <w:rFonts w:hint="eastAsia" w:ascii="宋体" w:hAnsi="宋体" w:eastAsia="仿宋_GB2312" w:cs="Times New Roman"/>
          <w:sz w:val="32"/>
          <w:szCs w:val="32"/>
          <w:lang w:val="en-US" w:eastAsia="zh-CN"/>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通过开展绩效评价工作，本年我区信访案件办结率、接访率等相关考核指标均得到提高，信访工作秩序有了明显改善，并得到省、市相关领导的赞赏，及广大信访人员的好评</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OGJjYjljNjYxOGE2NTcwMGNhZTk5MGNlNWE1NjMifQ=="/>
  </w:docVars>
  <w:rsids>
    <w:rsidRoot w:val="7E3F0B7D"/>
    <w:rsid w:val="000014A7"/>
    <w:rsid w:val="00052B5B"/>
    <w:rsid w:val="00774AFB"/>
    <w:rsid w:val="00E4217F"/>
    <w:rsid w:val="04AF3C95"/>
    <w:rsid w:val="05152AA0"/>
    <w:rsid w:val="0E115DFD"/>
    <w:rsid w:val="11D27EAE"/>
    <w:rsid w:val="20D97C1B"/>
    <w:rsid w:val="23553F43"/>
    <w:rsid w:val="28BA0CCD"/>
    <w:rsid w:val="298D5977"/>
    <w:rsid w:val="299664C8"/>
    <w:rsid w:val="3CB11BC4"/>
    <w:rsid w:val="3F28132A"/>
    <w:rsid w:val="49221B6F"/>
    <w:rsid w:val="5DA9479A"/>
    <w:rsid w:val="6544153D"/>
    <w:rsid w:val="68CD37BD"/>
    <w:rsid w:val="69F33182"/>
    <w:rsid w:val="6C940C35"/>
    <w:rsid w:val="7E3F0B7D"/>
    <w:rsid w:val="7E81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3095</Words>
  <Characters>3418</Characters>
  <Lines>5</Lines>
  <Paragraphs>7</Paragraphs>
  <TotalTime>10</TotalTime>
  <ScaleCrop>false</ScaleCrop>
  <LinksUpToDate>false</LinksUpToDate>
  <CharactersWithSpaces>3478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2022-10-20T10:13:04Z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49EE981AD63D496BA1D8AD9FC0B78F19</vt:lpwstr>
  </property>
</Properties>
</file>