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朔州市朔城区发展和改革局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bookmarkStart w:id="22" w:name="_GoBack"/>
      <w:bookmarkEnd w:id="22"/>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拟订并组织实施全区国民经济和社会发展战略、中长期规划和年度计划，统筹协调全区经济社会发展，研究分析全区经济运行情况、区内外经济形势等，提出全区国民经济发展、价格总水平调控和优化重大经济结构的目标、政策，提出综合运用各种经济手段和政策的建议，受区人民政府委托向这人民代表大会提交全区国民经济和社会发展计划的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2、监测全区宏观经济和社会发展态势，承担预测预警和信息引导的责任，研究宏观经济运行、总量平衡、全区经济安全和总体产业安全等重要问题并提 出宏观调控政策建议。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3、汇总分析全区财政、金融等方面的情况，参与制订财”政政策、土地政策和价格政策。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承担指导推进和综合协调全区经济体制改革的责任，研究经济体制改革和对外开放的重大问题，组织拟订综合性经济体制改革方案，协调有关专项经济体制改革方案，研究提出优化所有制结构的政策建议，指导经济体制改革试点和改革试验区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5、承担规划全区重大建设项目和生产力布局的责任，拟订全社会固定资产投资总规模和投资结构的调控目标、政策及措施，街接平衡需要安排政府投资和涉及重大建设项目的专项规划。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6、推进全区经济结构战略性调整。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7、承担组织对主体功能区规划的协调实施和监测评估的责任。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负责全区重要商品总量平衡和宏观调控相关工作，编.制重要农产品、工业品和原材料进出口总量计划并监督执行，根据经济运行情况对进出口总量计划进行调整，执行国家战略物资储备规划，负责组织国家战略物资在本区的收储、动用、轮换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9、负责全区社会发展与国民经济发展的政策衔接。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10、推进全区可持续发展战略。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11、研究起草全区国民经济和社会发展、经济体制改革、对外开放的规范性文件草案。指导和协调全区招标投标工作。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12、组织编制全区国民经济动员规划、 计划，研究全区国民经济动员与国民经济、国防建设的关系，协调相关重大问题，组织实施全区国民经济动员有关工作。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贯彻实施有关物价法律、法规及规章，执行国家价格政策;拟订并组织实施地方价格规范性文件和政策措施;牵头拟订全区价格规划草案，研究提出价格改革年度计划、中长期规划和政策建议，设计和论证价格改革方案;建立市场价格监测体系，完善价格信息网络;监测、预测价格总水平变动;提出价格总水平控制目标及价格调控措施，建立和完善价格管理制度;完善信息发布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14、执行政府管理的重要商品和服务项目价格，制定和调整区管重要商品、服务项目相关价格和收费标准。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15、承担价格鉴定、认证、评估工作，开展物价政策咨询服务工作:指导价格的社会监督，公共服务、信用建设等工作。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16、贯彻落实中央、省委、市委和区委关于粮食流通和物资储备工作的方针政策和决策部署。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17、承担全区粮食流通宏观调控的具体工作。研究提出全区粮食(含食用油)宏观调控、总量平衡以及粮食流通的中长期规划、进出口计划和收储、动用区级储备粮的建议。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18、负责粮食流通行业管理。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19、负责区级储备粮棉行政管理。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20、负责区级重要物资和应急储备物资的管理。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21、负责全区储备基础设施建设和管理。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22、负责对管理的政府储备、企业储备以及储备政策落实情况进行监督检查。</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23、完成区委、区人民政府交办的其他任务。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rPr>
      </w:pPr>
      <w:r>
        <w:rPr>
          <w:rFonts w:hint="eastAsia" w:ascii="宋体" w:hAnsi="宋体" w:eastAsia="仿宋_GB2312" w:cs="Times New Roman"/>
          <w:sz w:val="32"/>
          <w:szCs w:val="32"/>
          <w:lang w:eastAsia="zh-CN"/>
        </w:rPr>
        <w:t>本单位内设</w:t>
      </w:r>
      <w:r>
        <w:rPr>
          <w:rFonts w:hint="eastAsia" w:ascii="宋体" w:hAnsi="宋体" w:eastAsia="仿宋_GB2312" w:cs="Times New Roman"/>
          <w:sz w:val="32"/>
          <w:szCs w:val="32"/>
        </w:rPr>
        <w:t>八个股室，</w:t>
      </w:r>
      <w:r>
        <w:rPr>
          <w:rFonts w:hint="eastAsia" w:ascii="宋体" w:hAnsi="宋体" w:eastAsia="仿宋_GB2312" w:cs="Times New Roman"/>
          <w:sz w:val="32"/>
          <w:szCs w:val="32"/>
          <w:lang w:eastAsia="zh-CN"/>
        </w:rPr>
        <w:t>下属两个事业单位。从预算单位构成看，朔州市朔城区发展和改革局包括</w:t>
      </w:r>
      <w:r>
        <w:rPr>
          <w:rFonts w:hint="eastAsia" w:ascii="宋体" w:hAnsi="宋体" w:eastAsia="仿宋_GB2312" w:cs="Times New Roman"/>
          <w:sz w:val="32"/>
          <w:szCs w:val="32"/>
        </w:rPr>
        <w:t>本级决算、所属</w:t>
      </w:r>
      <w:r>
        <w:rPr>
          <w:rFonts w:hint="eastAsia" w:ascii="宋体" w:hAnsi="宋体" w:eastAsia="仿宋_GB2312" w:cs="Times New Roman"/>
          <w:sz w:val="32"/>
          <w:szCs w:val="32"/>
          <w:lang w:eastAsia="zh-CN"/>
        </w:rPr>
        <w:t>朔州市朔城区价格认证服务中心、和</w:t>
      </w:r>
      <w:r>
        <w:rPr>
          <w:rFonts w:hint="eastAsia" w:ascii="宋体" w:hAnsi="宋体" w:eastAsia="仿宋_GB2312" w:cs="Times New Roman"/>
          <w:sz w:val="32"/>
          <w:szCs w:val="32"/>
        </w:rPr>
        <w:t>所属</w:t>
      </w:r>
      <w:r>
        <w:rPr>
          <w:rFonts w:hint="eastAsia" w:ascii="宋体" w:hAnsi="宋体" w:eastAsia="仿宋_GB2312" w:cs="Times New Roman"/>
          <w:sz w:val="32"/>
          <w:szCs w:val="32"/>
          <w:lang w:eastAsia="zh-CN"/>
        </w:rPr>
        <w:t>朔州市朔城区项目推进中心</w:t>
      </w:r>
      <w:r>
        <w:rPr>
          <w:rFonts w:hint="eastAsia" w:ascii="宋体" w:hAnsi="宋体" w:eastAsia="仿宋_GB2312" w:cs="Times New Roman"/>
          <w:sz w:val="32"/>
          <w:szCs w:val="32"/>
        </w:rPr>
        <w:t>决算。</w:t>
      </w:r>
    </w:p>
    <w:p>
      <w:pPr>
        <w:pStyle w:val="2"/>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1499.5</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1499.5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429.35</w:t>
      </w:r>
      <w:r>
        <w:rPr>
          <w:rFonts w:hint="eastAsia" w:ascii="宋体" w:hAnsi="宋体" w:eastAsia="仿宋_GB2312" w:cs="Times New Roman"/>
          <w:sz w:val="32"/>
          <w:szCs w:val="32"/>
        </w:rPr>
        <w:t>万元，支出总计减少</w:t>
      </w:r>
      <w:r>
        <w:rPr>
          <w:rFonts w:hint="eastAsia" w:ascii="仿宋" w:hAnsi="仿宋" w:eastAsia="仿宋" w:cs="仿宋"/>
          <w:spacing w:val="-34"/>
          <w:sz w:val="32"/>
          <w:szCs w:val="32"/>
          <w:lang w:val="en-US" w:eastAsia="zh-CN"/>
        </w:rPr>
        <w:t>429.35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4人退休、2人去世、2人调走，工资福利费用和对个人和家庭的补助支出减少；同时本年减少了储备粮轮换费用、企业投资项目承诺制改革费用以及科研费用。</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1482.45</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1482.45</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1499.5</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661.68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837.82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1499.5</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1499.5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429.35</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22.26</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4人退休、2人去世、2人调走，工资福利费用和对个人和家庭的补助支出减少；同时本年减少了储备粮轮换费用、企业投资项目承诺制改革费用以及科研费用。</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1499.5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仿宋" w:hAnsi="仿宋" w:eastAsia="仿宋" w:cs="仿宋"/>
          <w:spacing w:val="-34"/>
          <w:sz w:val="32"/>
          <w:szCs w:val="32"/>
          <w:lang w:val="en-US" w:eastAsia="zh-CN"/>
        </w:rPr>
        <w:t>412.3</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4人退休、2人去世、2人调走，工资福利费用和对个人和家庭的补助支出减少；同时本年减少了储备粮轮换费用、企业投资项目承诺制改革费用以及科研费用。</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highlight w:val="none"/>
          <w:lang w:eastAsia="zh-CN"/>
        </w:rPr>
        <w:t>2021</w:t>
      </w:r>
      <w:r>
        <w:rPr>
          <w:rFonts w:hint="eastAsia" w:ascii="宋体" w:hAnsi="宋体" w:eastAsia="仿宋_GB2312" w:cs="Times New Roman"/>
          <w:sz w:val="32"/>
          <w:szCs w:val="32"/>
          <w:highlight w:val="none"/>
        </w:rPr>
        <w:t xml:space="preserve"> 年度财政拨款支出</w:t>
      </w:r>
      <w:r>
        <w:rPr>
          <w:rFonts w:hint="eastAsia" w:ascii="仿宋" w:hAnsi="仿宋" w:eastAsia="仿宋" w:cs="仿宋"/>
          <w:sz w:val="32"/>
          <w:szCs w:val="32"/>
          <w:highlight w:val="none"/>
          <w:lang w:val="en-US" w:eastAsia="zh-CN"/>
        </w:rPr>
        <w:t>1499.5</w:t>
      </w:r>
      <w:r>
        <w:rPr>
          <w:rFonts w:hint="eastAsia" w:ascii="宋体" w:hAnsi="宋体" w:eastAsia="仿宋_GB2312" w:cs="Times New Roman"/>
          <w:sz w:val="32"/>
          <w:szCs w:val="32"/>
          <w:highlight w:val="none"/>
        </w:rPr>
        <w:t>万元，主要用于以下方面：</w:t>
      </w:r>
      <w:r>
        <w:rPr>
          <w:rFonts w:hint="eastAsia" w:ascii="宋体" w:hAnsi="宋体" w:eastAsia="仿宋_GB2312" w:cs="Times New Roman"/>
          <w:sz w:val="32"/>
          <w:szCs w:val="32"/>
          <w:highlight w:val="none"/>
          <w:lang w:val="en-US" w:eastAsia="zh-CN"/>
        </w:rPr>
        <w:t>2010401行政运行科目支出656.98</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 xml:space="preserve">43.81 </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2010402一般行政管理事务科目</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178</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11.87</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2010403机关服务科目</w:t>
      </w:r>
      <w:r>
        <w:rPr>
          <w:rFonts w:hint="eastAsia" w:ascii="宋体" w:hAnsi="宋体" w:eastAsia="仿宋_GB2312" w:cs="Times New Roman"/>
          <w:sz w:val="32"/>
          <w:szCs w:val="32"/>
          <w:highlight w:val="none"/>
        </w:rPr>
        <w:t>支出</w:t>
      </w:r>
      <w:r>
        <w:rPr>
          <w:rFonts w:hint="eastAsia" w:ascii="宋体" w:hAnsi="宋体" w:eastAsia="仿宋_GB2312" w:cs="Times New Roman"/>
          <w:sz w:val="32"/>
          <w:szCs w:val="32"/>
          <w:highlight w:val="none"/>
          <w:lang w:val="en-US" w:eastAsia="zh-CN"/>
        </w:rPr>
        <w:t>225.75</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15.06</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2010404战略规划与实施科目支出41</w:t>
      </w:r>
      <w:r>
        <w:rPr>
          <w:rFonts w:hint="eastAsia" w:ascii="宋体" w:hAnsi="宋体" w:eastAsia="仿宋_GB2312" w:cs="Times New Roman"/>
          <w:sz w:val="32"/>
          <w:szCs w:val="32"/>
          <w:highlight w:val="none"/>
        </w:rPr>
        <w:t>万元，占</w:t>
      </w:r>
      <w:r>
        <w:rPr>
          <w:rFonts w:hint="eastAsia" w:ascii="宋体" w:hAnsi="宋体" w:eastAsia="仿宋_GB2312" w:cs="Times New Roman"/>
          <w:sz w:val="32"/>
          <w:szCs w:val="32"/>
          <w:highlight w:val="none"/>
          <w:lang w:val="en-US" w:eastAsia="zh-CN"/>
        </w:rPr>
        <w:t>2.73</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2010408物价管理科目支出179.92万元，占12.01%；2010599其他统计信息事务科目支出3.67万元，占0.24%；2080801死亡抚恤科目支出52.78万元，占3.52%；2130125农产品加工与促销科目106.38万元，占7.09%；2169999其他商业服务业等科目支出27万元，占1.8%；2220199其他粮油事务科目支出24.01万元，占1.6%；2299999其他科目支出4万元，占0.27%。</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1499.5</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1499.5</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661.67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641.4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559.4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82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20.27</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20.27</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与同年预算相比无变动；与2020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决算数相比无变动</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与上年相比无变动</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20.27</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162.73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降低</w:t>
      </w:r>
      <w:r>
        <w:rPr>
          <w:rFonts w:hint="eastAsia" w:ascii="宋体" w:hAnsi="宋体" w:eastAsia="仿宋_GB2312" w:cs="Times New Roman"/>
          <w:sz w:val="32"/>
          <w:szCs w:val="32"/>
          <w:lang w:val="en-US" w:eastAsia="zh-CN"/>
        </w:rPr>
        <w:t>88.92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机构改革后，人员调往下属事业单位，由</w:t>
      </w:r>
      <w:r>
        <w:rPr>
          <w:rFonts w:hint="eastAsia" w:ascii="宋体" w:hAnsi="宋体" w:eastAsia="仿宋_GB2312" w:cs="Times New Roman"/>
          <w:sz w:val="32"/>
          <w:szCs w:val="32"/>
          <w:lang w:val="en-US" w:eastAsia="zh-CN"/>
        </w:rPr>
        <w:t>41人减少至9人，事业单位无机关运行费用，因此本单位机关运行经费减少</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宋体" w:hAnsi="宋体" w:eastAsia="仿宋_GB2312" w:cs="Times New Roman"/>
          <w:sz w:val="32"/>
          <w:szCs w:val="32"/>
          <w:lang w:val="en-US" w:eastAsia="zh-CN"/>
        </w:rPr>
        <w:t>4.62</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4.62</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(1)</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eastAsia="zh-CN"/>
        </w:rPr>
        <w:t>。</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320" w:firstLineChars="1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7A4545A"/>
    <w:rsid w:val="0E115DFD"/>
    <w:rsid w:val="0E851A12"/>
    <w:rsid w:val="11D27EAE"/>
    <w:rsid w:val="14DA51A9"/>
    <w:rsid w:val="1E364F68"/>
    <w:rsid w:val="20286252"/>
    <w:rsid w:val="20D97C1B"/>
    <w:rsid w:val="23553F43"/>
    <w:rsid w:val="299664C8"/>
    <w:rsid w:val="311E5B56"/>
    <w:rsid w:val="3A8B4100"/>
    <w:rsid w:val="3F28132A"/>
    <w:rsid w:val="49221B6F"/>
    <w:rsid w:val="4F382993"/>
    <w:rsid w:val="51264C51"/>
    <w:rsid w:val="5DD87070"/>
    <w:rsid w:val="62A56CDB"/>
    <w:rsid w:val="6544153D"/>
    <w:rsid w:val="68CD37BD"/>
    <w:rsid w:val="6A193A08"/>
    <w:rsid w:val="6B4A63FF"/>
    <w:rsid w:val="6C940C35"/>
    <w:rsid w:val="79397778"/>
    <w:rsid w:val="7A0D751A"/>
    <w:rsid w:val="7E3F0B7D"/>
    <w:rsid w:val="7E45653F"/>
    <w:rsid w:val="7ED5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3</TotalTime>
  <ScaleCrop>false</ScaleCrop>
  <LinksUpToDate>false</LinksUpToDate>
  <CharactersWithSpaces>3558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2022-09-19T08:21:03Z</cp:lastPrinted>
  <dcterms:modified xsi:type="dcterms:W3CDTF">2022-09-19T08:22:47Z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