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朔州市朔城区发展和改革局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拟订并组织实施全区国民经济和社会发展战略、中长期规划和年度计划，统筹协调全区经济社会发展，研究分析全区经济运行情况、区内外经济形势等，提出全区国民经济发展、价格总水平调控和优化重大经济结构的目标、政策，提出综合运用各种经济手段和政策的建议，受区人民政府委托向这人民代表大会提交全区国民经济和社会发展计划的报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2、监测全区宏观经济和社会发展态势，承担预测预警和信息引导的责任，研究宏观经济运行、总量平衡、全区经济安全和总体产业安全等重要问题并提 出宏观调控政策建议。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3、汇总分析全区财政、金融等方面的情况，参与制订财”政政策、土地政策和价格政策。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承担指导推进和综合协调全区经济体制改革的责任，研究经济体制改革和对外开放的重大问题，组织拟订综合性经济体制改革方案，协调有关专项经济体制改革方案，研究提出优化所有制结构的政策建议，指导经济体制改革试点和改革试验区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5、承担规划全区重大建设项目和生产力布局的责任，拟订全社会固定资产投资总规模和投资结构的调控目标、政策及措施，街接平衡需要安排政府投资和涉及重大建设项目的专项规划。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6、推进全区经济结构战略性调整。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7、承担组织对主体功能区规划的协调实施和监测评估的责任。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负责全区重要商品总量平衡和宏观调控相关工作，编.制重要农产品、工业品和原材料进出口总量计划并监督执行，根据经济运行情况对进出口总量计划进行调整，执行国家战略物资储备规划，负责组织国家战略物资在本区的收储、动用、轮换和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9、负责全区社会发展与国民经济发展的政策衔接。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10、推进全区可持续发展战略。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11、研究起草全区国民经济和社会发展、经济体制改革、对外开放的规范性文件草案。指导和协调全区招标投标工作。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12、组织编制全区国民经济动员规划、 计划，研究全区国民经济动员与国民经济、国防建设的关系，协调相关重大问题，组织实施全区国民经济动员有关工作。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13、贯彻实施有关物价法律、法规及规章，执行国家价格政策;拟订并组织实施地方价格规范性文件和政策措施;牵头拟订全区价格规划草案，研究提出价格改革年度计划、中长期规划和政策建议，设计和论证价格改革方案;建立市场价格监测体系，完善价格信息网络;监测、预测价格总水平变动;提出价格总水平控制目标及价格调控措施，建立和完善价格管理制度;完善信息发布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14、执行政府管理的重要商品和服务项目价格，制定和调整区管重要商品、服务项目相关价格和收费标准。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15、承担价格鉴定、认证、评估工作，开展物价政策咨询服务工作:指导价格的社会监督，公共服务、信用建设等工作。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16、贯彻落实中央、省委、市委和区委关于粮食流通和物资储备工作的方针政策和决策部署。</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17、承担全区粮食流通宏观调控的具体工作。研究提出全区粮食(含食用油)宏观调控、总量平衡以及粮食流通的中长期规划、进出口计划和收储、动用区级储备粮的建议。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18、负责粮食流通行业管理。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19、负责区级储备粮棉行政管理。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20、负责区级重要物资和应急储备物资的管理。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21、负责全区储备基础设施建设和管理。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22、负责对管理的政府储备、企业储备以及储备政策落实情况进行监督检查。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23、完成区委、区人民政府交办的其他任务。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eastAsiaTheme="minorEastAsia"/>
          <w:lang w:eastAsia="zh-CN"/>
        </w:rPr>
      </w:pPr>
      <w:r>
        <w:rPr>
          <w:rFonts w:hint="eastAsia" w:ascii="宋体" w:hAnsi="宋体" w:eastAsia="仿宋_GB2312" w:cs="Times New Roman"/>
          <w:sz w:val="32"/>
          <w:szCs w:val="32"/>
          <w:lang w:eastAsia="zh-CN"/>
        </w:rPr>
        <w:t>本单位内设</w:t>
      </w:r>
      <w:r>
        <w:rPr>
          <w:rFonts w:hint="eastAsia" w:ascii="宋体" w:hAnsi="宋体" w:eastAsia="仿宋_GB2312" w:cs="Times New Roman"/>
          <w:sz w:val="32"/>
          <w:szCs w:val="32"/>
        </w:rPr>
        <w:t>八个股室，</w:t>
      </w:r>
      <w:r>
        <w:rPr>
          <w:rFonts w:hint="eastAsia" w:ascii="宋体" w:hAnsi="宋体" w:eastAsia="仿宋_GB2312" w:cs="Times New Roman"/>
          <w:sz w:val="32"/>
          <w:szCs w:val="32"/>
          <w:lang w:eastAsia="zh-CN"/>
        </w:rPr>
        <w:t>下属两个事业单位。从预算单位构成看，朔州市朔城区发展和改革局</w:t>
      </w:r>
      <w:r>
        <w:rPr>
          <w:rFonts w:hint="eastAsia" w:ascii="宋体" w:hAnsi="宋体" w:eastAsia="仿宋_GB2312" w:cs="Times New Roman"/>
          <w:sz w:val="32"/>
          <w:szCs w:val="32"/>
          <w:lang w:val="en-US" w:eastAsia="zh-CN"/>
        </w:rPr>
        <w:t>部门决算</w:t>
      </w:r>
      <w:r>
        <w:rPr>
          <w:rFonts w:hint="eastAsia" w:ascii="宋体" w:hAnsi="宋体" w:eastAsia="仿宋_GB2312" w:cs="Times New Roman"/>
          <w:sz w:val="32"/>
          <w:szCs w:val="32"/>
          <w:lang w:eastAsia="zh-CN"/>
        </w:rPr>
        <w:t>包括</w:t>
      </w:r>
      <w:r>
        <w:rPr>
          <w:rFonts w:hint="eastAsia" w:ascii="宋体" w:hAnsi="宋体" w:eastAsia="仿宋_GB2312" w:cs="Times New Roman"/>
          <w:sz w:val="32"/>
          <w:szCs w:val="32"/>
        </w:rPr>
        <w:t>本级决算</w:t>
      </w:r>
      <w:r>
        <w:rPr>
          <w:rFonts w:hint="eastAsia" w:ascii="宋体" w:hAnsi="宋体" w:eastAsia="仿宋_GB2312" w:cs="Times New Roman"/>
          <w:sz w:val="32"/>
          <w:szCs w:val="32"/>
          <w:lang w:eastAsia="zh-CN"/>
        </w:rPr>
        <w:t>。</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17336_WPSOffice_Level1"/>
      <w:bookmarkStart w:id="4" w:name="_Toc25884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1232.07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1232.07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696.78</w:t>
      </w:r>
      <w:r>
        <w:rPr>
          <w:rFonts w:hint="eastAsia" w:ascii="宋体" w:hAnsi="宋体" w:eastAsia="仿宋_GB2312" w:cs="Times New Roman"/>
          <w:sz w:val="32"/>
          <w:szCs w:val="32"/>
        </w:rPr>
        <w:t>万元，支出总计减少</w:t>
      </w:r>
      <w:r>
        <w:rPr>
          <w:rFonts w:hint="eastAsia" w:ascii="仿宋" w:hAnsi="仿宋" w:eastAsia="仿宋" w:cs="仿宋"/>
          <w:spacing w:val="-34"/>
          <w:sz w:val="32"/>
          <w:szCs w:val="32"/>
          <w:lang w:val="en-US" w:eastAsia="zh-CN"/>
        </w:rPr>
        <w:t>696.78</w:t>
      </w:r>
      <w:r>
        <w:rPr>
          <w:rFonts w:hint="eastAsia" w:ascii="宋体" w:hAnsi="宋体" w:eastAsia="仿宋_GB2312" w:cs="Times New Roman"/>
          <w:sz w:val="32"/>
          <w:szCs w:val="32"/>
        </w:rPr>
        <w:t>万元。主要原因：</w:t>
      </w:r>
      <w:r>
        <w:rPr>
          <w:rFonts w:hint="eastAsia" w:ascii="宋体" w:hAnsi="宋体" w:eastAsia="仿宋_GB2312" w:cs="Times New Roman"/>
          <w:sz w:val="32"/>
          <w:szCs w:val="32"/>
          <w:lang w:eastAsia="zh-CN"/>
        </w:rPr>
        <w:t>一是</w:t>
      </w:r>
      <w:r>
        <w:rPr>
          <w:rFonts w:hint="eastAsia" w:ascii="宋体" w:hAnsi="宋体" w:eastAsia="仿宋_GB2312" w:cs="Times New Roman"/>
          <w:sz w:val="32"/>
          <w:szCs w:val="32"/>
          <w:lang w:val="en-US" w:eastAsia="zh-CN"/>
        </w:rPr>
        <w:t>4人退休、2人去世、2人调走，同时</w:t>
      </w:r>
      <w:r>
        <w:rPr>
          <w:rFonts w:hint="eastAsia" w:ascii="宋体" w:hAnsi="宋体" w:eastAsia="仿宋_GB2312" w:cs="Times New Roman"/>
          <w:sz w:val="32"/>
          <w:szCs w:val="32"/>
          <w:lang w:eastAsia="zh-CN"/>
        </w:rPr>
        <w:t>机构改革后，</w:t>
      </w:r>
      <w:r>
        <w:rPr>
          <w:rFonts w:hint="eastAsia" w:ascii="宋体" w:hAnsi="宋体" w:eastAsia="仿宋_GB2312" w:cs="Times New Roman"/>
          <w:sz w:val="32"/>
          <w:szCs w:val="32"/>
          <w:lang w:val="en-US" w:eastAsia="zh-CN"/>
        </w:rPr>
        <w:t>27人</w:t>
      </w:r>
      <w:r>
        <w:rPr>
          <w:rFonts w:hint="eastAsia" w:ascii="宋体" w:hAnsi="宋体" w:eastAsia="仿宋_GB2312" w:cs="Times New Roman"/>
          <w:sz w:val="32"/>
          <w:szCs w:val="32"/>
          <w:lang w:eastAsia="zh-CN"/>
        </w:rPr>
        <w:t>调往下属事业单位，人员减少导致</w:t>
      </w:r>
      <w:r>
        <w:rPr>
          <w:rFonts w:hint="eastAsia" w:ascii="宋体" w:hAnsi="宋体" w:eastAsia="仿宋_GB2312" w:cs="Times New Roman"/>
          <w:sz w:val="32"/>
          <w:szCs w:val="32"/>
          <w:lang w:val="en-US" w:eastAsia="zh-CN"/>
        </w:rPr>
        <w:t>工资福利费用和对个人和家庭的补助支出减少；二是本年减少了储备粮轮换费用、企业投资项目承诺制改革费用以及科研费用。</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1215.02</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1215.02</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1232.07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419.17</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812.89</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eastAsia" w:ascii="宋体" w:hAnsi="宋体" w:eastAsia="仿宋_GB2312" w:cs="Times New Roman"/>
          <w:sz w:val="32"/>
          <w:szCs w:val="32"/>
          <w:lang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1232.07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1232.07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6"/>
          <w:szCs w:val="36"/>
          <w:lang w:val="en-US" w:eastAsia="zh-CN"/>
        </w:rPr>
        <w:t>696.78</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36.12</w:t>
      </w:r>
      <w:r>
        <w:rPr>
          <w:rFonts w:hint="eastAsia" w:ascii="宋体" w:hAnsi="宋体" w:eastAsia="仿宋_GB2312" w:cs="Times New Roman"/>
          <w:sz w:val="32"/>
          <w:szCs w:val="32"/>
        </w:rPr>
        <w:t>%。主要原因</w:t>
      </w:r>
      <w:r>
        <w:rPr>
          <w:rFonts w:hint="eastAsia" w:ascii="宋体" w:hAnsi="宋体" w:eastAsia="仿宋_GB2312" w:cs="Times New Roman"/>
          <w:sz w:val="32"/>
          <w:szCs w:val="32"/>
          <w:lang w:eastAsia="zh-CN"/>
        </w:rPr>
        <w:t>：一是</w:t>
      </w:r>
      <w:r>
        <w:rPr>
          <w:rFonts w:hint="eastAsia" w:ascii="宋体" w:hAnsi="宋体" w:eastAsia="仿宋_GB2312" w:cs="Times New Roman"/>
          <w:sz w:val="32"/>
          <w:szCs w:val="32"/>
          <w:lang w:val="en-US" w:eastAsia="zh-CN"/>
        </w:rPr>
        <w:t>4人退休、2人去世、2人调走，同时</w:t>
      </w:r>
      <w:r>
        <w:rPr>
          <w:rFonts w:hint="eastAsia" w:ascii="宋体" w:hAnsi="宋体" w:eastAsia="仿宋_GB2312" w:cs="Times New Roman"/>
          <w:sz w:val="32"/>
          <w:szCs w:val="32"/>
          <w:lang w:eastAsia="zh-CN"/>
        </w:rPr>
        <w:t>机构改革后，</w:t>
      </w:r>
      <w:r>
        <w:rPr>
          <w:rFonts w:hint="eastAsia" w:ascii="宋体" w:hAnsi="宋体" w:eastAsia="仿宋_GB2312" w:cs="Times New Roman"/>
          <w:sz w:val="32"/>
          <w:szCs w:val="32"/>
          <w:lang w:val="en-US" w:eastAsia="zh-CN"/>
        </w:rPr>
        <w:t>27人</w:t>
      </w:r>
      <w:r>
        <w:rPr>
          <w:rFonts w:hint="eastAsia" w:ascii="宋体" w:hAnsi="宋体" w:eastAsia="仿宋_GB2312" w:cs="Times New Roman"/>
          <w:sz w:val="32"/>
          <w:szCs w:val="32"/>
          <w:lang w:eastAsia="zh-CN"/>
        </w:rPr>
        <w:t>调往下属事业单位，人员减少导致</w:t>
      </w:r>
      <w:r>
        <w:rPr>
          <w:rFonts w:hint="eastAsia" w:ascii="宋体" w:hAnsi="宋体" w:eastAsia="仿宋_GB2312" w:cs="Times New Roman"/>
          <w:sz w:val="32"/>
          <w:szCs w:val="32"/>
          <w:lang w:val="en-US" w:eastAsia="zh-CN"/>
        </w:rPr>
        <w:t>工资福利费用和对个人和家庭的补助支出减少；二是本年减少了储备粮轮换费用、企业投资项目承诺制改革费用以及科研费用。</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1232.07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仿宋" w:hAnsi="仿宋" w:eastAsia="仿宋" w:cs="仿宋"/>
          <w:spacing w:val="-34"/>
          <w:sz w:val="32"/>
          <w:szCs w:val="32"/>
          <w:lang w:val="en-US" w:eastAsia="zh-CN"/>
        </w:rPr>
        <w:t>679.73</w:t>
      </w:r>
      <w:r>
        <w:rPr>
          <w:rFonts w:hint="eastAsia" w:ascii="宋体" w:hAnsi="宋体" w:eastAsia="仿宋_GB2312" w:cs="Times New Roman"/>
          <w:sz w:val="32"/>
          <w:szCs w:val="32"/>
        </w:rPr>
        <w:t>万元。主要原因</w:t>
      </w:r>
      <w:r>
        <w:rPr>
          <w:rFonts w:hint="eastAsia" w:ascii="宋体" w:hAnsi="宋体" w:eastAsia="仿宋_GB2312" w:cs="Times New Roman"/>
          <w:sz w:val="32"/>
          <w:szCs w:val="32"/>
          <w:lang w:eastAsia="zh-CN"/>
        </w:rPr>
        <w:t>：一是</w:t>
      </w:r>
      <w:r>
        <w:rPr>
          <w:rFonts w:hint="eastAsia" w:ascii="宋体" w:hAnsi="宋体" w:eastAsia="仿宋_GB2312" w:cs="Times New Roman"/>
          <w:sz w:val="32"/>
          <w:szCs w:val="32"/>
          <w:lang w:val="en-US" w:eastAsia="zh-CN"/>
        </w:rPr>
        <w:t>4人退休、2人去世、2人调走，同时</w:t>
      </w:r>
      <w:r>
        <w:rPr>
          <w:rFonts w:hint="eastAsia" w:ascii="宋体" w:hAnsi="宋体" w:eastAsia="仿宋_GB2312" w:cs="Times New Roman"/>
          <w:sz w:val="32"/>
          <w:szCs w:val="32"/>
          <w:lang w:eastAsia="zh-CN"/>
        </w:rPr>
        <w:t>机构改革后，</w:t>
      </w:r>
      <w:r>
        <w:rPr>
          <w:rFonts w:hint="eastAsia" w:ascii="宋体" w:hAnsi="宋体" w:eastAsia="仿宋_GB2312" w:cs="Times New Roman"/>
          <w:sz w:val="32"/>
          <w:szCs w:val="32"/>
          <w:lang w:val="en-US" w:eastAsia="zh-CN"/>
        </w:rPr>
        <w:t>27人</w:t>
      </w:r>
      <w:r>
        <w:rPr>
          <w:rFonts w:hint="eastAsia" w:ascii="宋体" w:hAnsi="宋体" w:eastAsia="仿宋_GB2312" w:cs="Times New Roman"/>
          <w:sz w:val="32"/>
          <w:szCs w:val="32"/>
          <w:lang w:eastAsia="zh-CN"/>
        </w:rPr>
        <w:t>调往下属事业单位，人员减少导致</w:t>
      </w:r>
      <w:r>
        <w:rPr>
          <w:rFonts w:hint="eastAsia" w:ascii="宋体" w:hAnsi="宋体" w:eastAsia="仿宋_GB2312" w:cs="Times New Roman"/>
          <w:sz w:val="32"/>
          <w:szCs w:val="32"/>
          <w:lang w:val="en-US" w:eastAsia="zh-CN"/>
        </w:rPr>
        <w:t>工资福利费用和对个人和家庭的补助支出减少；二是本年减少了储备粮轮换费用、企业投资项目承诺制改革费用以及科研费用。</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default" w:ascii="仿宋" w:hAnsi="仿宋" w:eastAsia="仿宋" w:cs="仿宋"/>
          <w:sz w:val="32"/>
          <w:szCs w:val="32"/>
          <w:highlight w:val="none"/>
          <w:lang w:val="en-US"/>
        </w:rPr>
      </w:pPr>
      <w:bookmarkStart w:id="14" w:name="_Toc1066_WPSOffice_Level2"/>
      <w:bookmarkStart w:id="15" w:name="_Toc27424_WPSOffice_Level2"/>
      <w:r>
        <w:rPr>
          <w:rFonts w:hint="eastAsia" w:ascii="宋体" w:hAnsi="宋体" w:eastAsia="仿宋_GB2312" w:cs="Times New Roman"/>
          <w:sz w:val="32"/>
          <w:szCs w:val="32"/>
          <w:highlight w:val="none"/>
          <w:lang w:eastAsia="zh-CN"/>
        </w:rPr>
        <w:t>2021</w:t>
      </w:r>
      <w:r>
        <w:rPr>
          <w:rFonts w:hint="eastAsia" w:ascii="宋体" w:hAnsi="宋体" w:eastAsia="仿宋_GB2312" w:cs="Times New Roman"/>
          <w:sz w:val="32"/>
          <w:szCs w:val="32"/>
          <w:highlight w:val="none"/>
        </w:rPr>
        <w:t xml:space="preserve"> 年度财政拨款支出</w:t>
      </w:r>
      <w:r>
        <w:rPr>
          <w:rFonts w:hint="eastAsia" w:ascii="仿宋" w:hAnsi="仿宋" w:eastAsia="仿宋" w:cs="仿宋"/>
          <w:sz w:val="32"/>
          <w:szCs w:val="32"/>
          <w:highlight w:val="none"/>
          <w:lang w:val="en-US" w:eastAsia="zh-CN"/>
        </w:rPr>
        <w:t>1232.07</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2010401行政运行科目支出656.98万元，占比53.32%；2010402一般行政管理事务科目支出178万元，占比14.45%；2010403机关服务科目支出157.16万元，占比12.76%；2010404战略规划与实施科目支出41万元，占比3.33%；2010599其他统计信息事务科目支出3.67万元，占比0.3%；2080801死亡抚恤科目支出33.86万元，占比2.75%；2130125农产品加工与促销科目支出106.38万元，占比8.63%；2169999其他商业服务业等科目支出27万元，占比2.19%；2220199其他粮油事务科目支出24.01万元，占比1.95%；2299999其他支出4万元，占比0.32%。</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1232.07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1232.07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419.17</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398.9</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321.59</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77.31</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20.27</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20.27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与同年预算相比无变动；与2020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决算数相比无变动</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与上年相比无变动</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20.27</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162.73</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降低</w:t>
      </w:r>
      <w:r>
        <w:rPr>
          <w:rFonts w:hint="eastAsia" w:ascii="宋体" w:hAnsi="宋体" w:eastAsia="仿宋_GB2312" w:cs="Times New Roman"/>
          <w:sz w:val="32"/>
          <w:szCs w:val="32"/>
          <w:lang w:val="en-US" w:eastAsia="zh-CN"/>
        </w:rPr>
        <w:t>88.92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机构改革后，人员调往下属事业单位，由</w:t>
      </w:r>
      <w:r>
        <w:rPr>
          <w:rFonts w:hint="eastAsia" w:ascii="宋体" w:hAnsi="宋体" w:eastAsia="仿宋_GB2312" w:cs="Times New Roman"/>
          <w:sz w:val="32"/>
          <w:szCs w:val="32"/>
          <w:lang w:val="en-US" w:eastAsia="zh-CN"/>
        </w:rPr>
        <w:t>41人减少至9人，因此本单位机关运行经费减少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宋体" w:hAnsi="宋体" w:eastAsia="仿宋_GB2312" w:cs="Times New Roman"/>
          <w:sz w:val="32"/>
          <w:szCs w:val="32"/>
          <w:lang w:val="en-US" w:eastAsia="zh-CN"/>
        </w:rPr>
        <w:t>4.62</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4.62</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320" w:firstLineChars="1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(1)</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eastAsia="zh-CN"/>
        </w:rPr>
        <w:t>。</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ind w:firstLine="320" w:firstLineChars="100"/>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我单位</w:t>
      </w:r>
      <w:r>
        <w:rPr>
          <w:rFonts w:hint="eastAsia" w:ascii="宋体" w:hAnsi="宋体" w:eastAsia="仿宋_GB2312" w:cs="Times New Roman"/>
          <w:sz w:val="32"/>
          <w:szCs w:val="32"/>
          <w:lang w:val="en-US" w:eastAsia="zh-CN"/>
        </w:rPr>
        <w:t>2021年</w:t>
      </w:r>
      <w:r>
        <w:rPr>
          <w:rFonts w:hint="eastAsia" w:ascii="宋体" w:hAnsi="宋体" w:eastAsia="仿宋_GB2312" w:cs="Times New Roman"/>
          <w:sz w:val="32"/>
          <w:szCs w:val="32"/>
        </w:rPr>
        <w:t>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ODk4ZTYxMGJiNzIwYjE2MTdkMWRmMTNjOThlOWEifQ=="/>
  </w:docVars>
  <w:rsids>
    <w:rsidRoot w:val="7E3F0B7D"/>
    <w:rsid w:val="000014A7"/>
    <w:rsid w:val="00052B5B"/>
    <w:rsid w:val="00774AFB"/>
    <w:rsid w:val="00E4217F"/>
    <w:rsid w:val="059F14FF"/>
    <w:rsid w:val="07A4545A"/>
    <w:rsid w:val="08323082"/>
    <w:rsid w:val="0E115DFD"/>
    <w:rsid w:val="0E851A12"/>
    <w:rsid w:val="11D27EAE"/>
    <w:rsid w:val="1DC17C7F"/>
    <w:rsid w:val="1E364F68"/>
    <w:rsid w:val="20D97C1B"/>
    <w:rsid w:val="23553F43"/>
    <w:rsid w:val="299664C8"/>
    <w:rsid w:val="2EA02ED4"/>
    <w:rsid w:val="311E5B56"/>
    <w:rsid w:val="33352F07"/>
    <w:rsid w:val="3A8B4100"/>
    <w:rsid w:val="3F28132A"/>
    <w:rsid w:val="49221B6F"/>
    <w:rsid w:val="4F382993"/>
    <w:rsid w:val="5DD87070"/>
    <w:rsid w:val="5E540D78"/>
    <w:rsid w:val="62A56CDB"/>
    <w:rsid w:val="62AF7046"/>
    <w:rsid w:val="6544153D"/>
    <w:rsid w:val="68CD37BD"/>
    <w:rsid w:val="6A193A08"/>
    <w:rsid w:val="6B4A63FF"/>
    <w:rsid w:val="6C940C35"/>
    <w:rsid w:val="6DA07FE6"/>
    <w:rsid w:val="79397778"/>
    <w:rsid w:val="7A0D751A"/>
    <w:rsid w:val="7E3F0B7D"/>
    <w:rsid w:val="7ED5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4355</Words>
  <Characters>4736</Characters>
  <Lines>5</Lines>
  <Paragraphs>7</Paragraphs>
  <TotalTime>3</TotalTime>
  <ScaleCrop>false</ScaleCrop>
  <LinksUpToDate>false</LinksUpToDate>
  <CharactersWithSpaces>4793</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hp</cp:lastModifiedBy>
  <cp:lastPrinted>2022-09-21T02:19:19Z</cp:lastPrinted>
  <dcterms:modified xsi:type="dcterms:W3CDTF">2022-09-21T02:23:17Z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C597BBB396D84596A05E9E804A1DEA6C</vt:lpwstr>
  </property>
</Properties>
</file>