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44"/>
          <w:szCs w:val="44"/>
        </w:rPr>
      </w:pPr>
      <w:r>
        <w:rPr>
          <w:rFonts w:hint="eastAsia" w:ascii="黑体" w:eastAsia="黑体"/>
          <w:sz w:val="44"/>
          <w:szCs w:val="44"/>
        </w:rPr>
        <w:t>朔州市朔城区交通运输局</w:t>
      </w:r>
    </w:p>
    <w:p>
      <w:pPr>
        <w:jc w:val="center"/>
        <w:rPr>
          <w:rFonts w:ascii="黑体" w:eastAsia="黑体"/>
          <w:sz w:val="44"/>
          <w:szCs w:val="44"/>
        </w:rPr>
      </w:pPr>
      <w:r>
        <w:rPr>
          <w:rFonts w:ascii="黑体" w:eastAsia="黑体"/>
          <w:sz w:val="44"/>
          <w:szCs w:val="44"/>
        </w:rPr>
        <w:t>2021</w:t>
      </w:r>
      <w:r>
        <w:rPr>
          <w:rFonts w:hint="eastAsia" w:ascii="黑体" w:eastAsia="黑体"/>
          <w:sz w:val="44"/>
          <w:szCs w:val="44"/>
        </w:rPr>
        <w:t>年部门决算公开情况说明</w:t>
      </w:r>
    </w:p>
    <w:p>
      <w:pPr>
        <w:spacing w:line="360" w:lineRule="auto"/>
        <w:jc w:val="center"/>
        <w:rPr>
          <w:rFonts w:ascii="宋体" w:cs="宋体"/>
          <w:sz w:val="44"/>
          <w:szCs w:val="44"/>
        </w:rPr>
      </w:pPr>
      <w:bookmarkStart w:id="0" w:name="_Toc8044_WPSOffice_Level1"/>
      <w:bookmarkStart w:id="1" w:name="_Toc4691_WPSOffice_Level1"/>
    </w:p>
    <w:p>
      <w:pPr>
        <w:pStyle w:val="2"/>
      </w:pPr>
    </w:p>
    <w:p>
      <w:pPr>
        <w:spacing w:line="360" w:lineRule="auto"/>
        <w:jc w:val="center"/>
        <w:rPr>
          <w:rFonts w:ascii="宋体" w:cs="宋体"/>
          <w:sz w:val="44"/>
          <w:szCs w:val="44"/>
        </w:rPr>
      </w:pPr>
      <w:r>
        <w:rPr>
          <w:rFonts w:hint="eastAsia" w:ascii="宋体" w:hAnsi="宋体" w:cs="宋体"/>
          <w:sz w:val="44"/>
          <w:szCs w:val="44"/>
        </w:rPr>
        <w:t>目录</w:t>
      </w:r>
    </w:p>
    <w:p>
      <w:pPr>
        <w:pStyle w:val="13"/>
        <w:tabs>
          <w:tab w:val="right" w:leader="dot" w:pos="8336"/>
        </w:tabs>
        <w:spacing w:line="360" w:lineRule="auto"/>
        <w:ind w:firstLine="600" w:firstLineChars="200"/>
        <w:rPr>
          <w:rFonts w:ascii="宋体" w:cs="宋体"/>
          <w:b/>
          <w:sz w:val="30"/>
          <w:szCs w:val="30"/>
        </w:rPr>
      </w:pPr>
      <w:r>
        <w:rPr>
          <w:rFonts w:ascii="宋体" w:hAnsi="宋体" w:cs="宋体"/>
          <w:sz w:val="30"/>
          <w:szCs w:val="30"/>
        </w:rPr>
        <w:fldChar w:fldCharType="begin"/>
      </w:r>
      <w:r>
        <w:rPr>
          <w:rFonts w:ascii="宋体" w:hAnsi="宋体" w:cs="宋体"/>
          <w:sz w:val="30"/>
          <w:szCs w:val="30"/>
        </w:rPr>
        <w:instrText xml:space="preserve">TOC \o "1-2" \h \u </w:instrText>
      </w:r>
      <w:r>
        <w:rPr>
          <w:rFonts w:ascii="宋体" w:hAnsi="宋体" w:cs="宋体"/>
          <w:sz w:val="30"/>
          <w:szCs w:val="30"/>
        </w:rPr>
        <w:fldChar w:fldCharType="separate"/>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14"/>
        <w:tabs>
          <w:tab w:val="right" w:leader="dot" w:pos="8336"/>
        </w:tabs>
        <w:spacing w:line="360" w:lineRule="auto"/>
        <w:ind w:left="420" w:firstLine="294" w:firstLineChars="100"/>
        <w:rPr>
          <w:rFonts w:ascii="宋体" w:cs="宋体"/>
          <w:spacing w:val="-3"/>
          <w:sz w:val="30"/>
          <w:szCs w:val="30"/>
        </w:rPr>
      </w:pPr>
      <w:r>
        <w:rPr>
          <w:rFonts w:hint="eastAsia" w:ascii="宋体" w:hAnsi="宋体" w:cs="宋体"/>
          <w:spacing w:val="-3"/>
          <w:sz w:val="30"/>
          <w:szCs w:val="30"/>
        </w:rPr>
        <w:t>（一）部门职责。</w:t>
      </w:r>
    </w:p>
    <w:p>
      <w:pPr>
        <w:pStyle w:val="14"/>
        <w:tabs>
          <w:tab w:val="right" w:leader="dot" w:pos="8336"/>
        </w:tabs>
        <w:spacing w:line="360" w:lineRule="auto"/>
        <w:ind w:left="420" w:firstLine="294" w:firstLineChars="100"/>
        <w:rPr>
          <w:rFonts w:ascii="宋体" w:cs="宋体"/>
          <w:spacing w:val="-3"/>
          <w:sz w:val="30"/>
          <w:szCs w:val="30"/>
        </w:rPr>
      </w:pPr>
      <w:r>
        <w:rPr>
          <w:rFonts w:hint="eastAsia" w:ascii="宋体" w:hAnsi="宋体" w:cs="宋体"/>
          <w:spacing w:val="-3"/>
          <w:sz w:val="30"/>
          <w:szCs w:val="30"/>
        </w:rPr>
        <w:t>（二）机构设置。</w:t>
      </w:r>
    </w:p>
    <w:p>
      <w:pPr>
        <w:pStyle w:val="13"/>
        <w:tabs>
          <w:tab w:val="right" w:leader="dot" w:pos="8336"/>
        </w:tabs>
        <w:spacing w:line="360" w:lineRule="auto"/>
        <w:ind w:firstLine="600" w:firstLineChars="300"/>
        <w:rPr>
          <w:rFonts w:asci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ascii="宋体" w:hAnsi="宋体" w:cs="宋体"/>
          <w:b/>
          <w:sz w:val="30"/>
          <w:szCs w:val="30"/>
        </w:rPr>
        <w:t>2021</w:t>
      </w:r>
      <w:r>
        <w:rPr>
          <w:rFonts w:hint="eastAsia" w:ascii="宋体" w:hAnsi="宋体" w:cs="宋体"/>
          <w:b/>
          <w:sz w:val="30"/>
          <w:szCs w:val="30"/>
        </w:rPr>
        <w:t>年度部门决算公开报表</w:t>
      </w:r>
    </w:p>
    <w:p>
      <w:pPr>
        <w:pStyle w:val="13"/>
        <w:tabs>
          <w:tab w:val="right" w:leader="dot" w:pos="8336"/>
        </w:tabs>
        <w:spacing w:line="360" w:lineRule="auto"/>
        <w:ind w:firstLine="602" w:firstLineChars="200"/>
        <w:rPr>
          <w:rFonts w:ascii="宋体" w:cs="宋体"/>
          <w:b/>
          <w:sz w:val="30"/>
          <w:szCs w:val="30"/>
        </w:rPr>
      </w:pPr>
      <w:r>
        <w:rPr>
          <w:rFonts w:hint="eastAsia" w:ascii="宋体" w:hAnsi="宋体" w:cs="宋体"/>
          <w:b/>
          <w:sz w:val="30"/>
          <w:szCs w:val="30"/>
        </w:rPr>
        <w:t>三、</w:t>
      </w:r>
      <w:r>
        <w:rPr>
          <w:rFonts w:ascii="宋体" w:hAnsi="宋体" w:cs="宋体"/>
          <w:b/>
          <w:sz w:val="30"/>
          <w:szCs w:val="30"/>
        </w:rPr>
        <w:t>2021</w:t>
      </w:r>
      <w:r>
        <w:rPr>
          <w:rFonts w:hint="eastAsia" w:ascii="宋体" w:hAnsi="宋体" w:cs="宋体"/>
          <w:b/>
          <w:sz w:val="30"/>
          <w:szCs w:val="30"/>
        </w:rPr>
        <w:t>年度部门决算情况说明</w:t>
      </w:r>
    </w:p>
    <w:p>
      <w:pPr>
        <w:pStyle w:val="14"/>
        <w:tabs>
          <w:tab w:val="right" w:leader="dot" w:pos="8336"/>
        </w:tabs>
        <w:spacing w:line="360" w:lineRule="auto"/>
        <w:ind w:left="420" w:firstLine="300" w:firstLineChars="100"/>
        <w:rPr>
          <w:rFonts w:asci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14"/>
        <w:tabs>
          <w:tab w:val="right" w:leader="dot" w:pos="8336"/>
        </w:tabs>
        <w:spacing w:line="360" w:lineRule="auto"/>
        <w:ind w:left="420" w:firstLine="300" w:firstLineChars="100"/>
        <w:rPr>
          <w:rFonts w:asci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14"/>
        <w:tabs>
          <w:tab w:val="right" w:leader="dot" w:pos="8336"/>
        </w:tabs>
        <w:spacing w:line="360" w:lineRule="auto"/>
        <w:ind w:left="420" w:firstLine="300" w:firstLineChars="100"/>
        <w:rPr>
          <w:rFonts w:asci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4"/>
        <w:tabs>
          <w:tab w:val="right" w:leader="dot" w:pos="8336"/>
        </w:tabs>
        <w:spacing w:line="360" w:lineRule="auto"/>
        <w:ind w:left="420" w:firstLine="300" w:firstLineChars="100"/>
        <w:rPr>
          <w:rFonts w:asci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14"/>
        <w:tabs>
          <w:tab w:val="right" w:leader="dot" w:pos="8336"/>
        </w:tabs>
        <w:spacing w:line="360" w:lineRule="auto"/>
        <w:ind w:left="420" w:firstLine="300" w:firstLineChars="100"/>
        <w:rPr>
          <w:rFonts w:asci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4"/>
        <w:tabs>
          <w:tab w:val="right" w:leader="dot" w:pos="8336"/>
        </w:tabs>
        <w:spacing w:line="360" w:lineRule="auto"/>
        <w:ind w:left="420" w:firstLine="300" w:firstLineChars="100"/>
        <w:rPr>
          <w:rFonts w:asci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4"/>
        <w:tabs>
          <w:tab w:val="right" w:leader="dot" w:pos="8336"/>
        </w:tabs>
        <w:spacing w:line="360" w:lineRule="auto"/>
        <w:ind w:left="420" w:firstLine="300" w:firstLineChars="100"/>
        <w:rPr>
          <w:rFonts w:asci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4"/>
        <w:tabs>
          <w:tab w:val="right" w:leader="dot" w:pos="8336"/>
        </w:tabs>
        <w:spacing w:line="360" w:lineRule="auto"/>
        <w:ind w:left="420" w:firstLine="300" w:firstLineChars="100"/>
        <w:rPr>
          <w:rFonts w:asci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4"/>
        <w:tabs>
          <w:tab w:val="right" w:leader="dot" w:pos="8336"/>
        </w:tabs>
        <w:spacing w:line="360" w:lineRule="auto"/>
        <w:ind w:left="420" w:firstLine="300" w:firstLineChars="100"/>
        <w:rPr>
          <w:rFonts w:asci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13"/>
        <w:tabs>
          <w:tab w:val="right" w:leader="dot" w:pos="8336"/>
        </w:tabs>
        <w:spacing w:line="360" w:lineRule="auto"/>
        <w:ind w:firstLine="300" w:firstLineChars="150"/>
        <w:rPr>
          <w:rFonts w:asci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四、名词解释</w:t>
      </w:r>
      <w:r>
        <w:rPr>
          <w:rFonts w:hint="eastAsia" w:ascii="宋体" w:hAnsi="宋体" w:cs="宋体"/>
          <w:b/>
          <w:snapToGrid w:val="0"/>
          <w:spacing w:val="-4"/>
          <w:sz w:val="30"/>
          <w:szCs w:val="30"/>
        </w:rPr>
        <w:fldChar w:fldCharType="end"/>
      </w:r>
    </w:p>
    <w:p>
      <w:pPr>
        <w:rPr>
          <w:rFonts w:ascii="宋体" w:cs="宋体"/>
          <w:b/>
          <w:sz w:val="30"/>
          <w:szCs w:val="30"/>
        </w:rPr>
      </w:pPr>
      <w:r>
        <w:rPr>
          <w:rFonts w:ascii="宋体" w:hAnsi="宋体" w:cs="宋体"/>
          <w:sz w:val="30"/>
          <w:szCs w:val="30"/>
        </w:rPr>
        <w:fldChar w:fldCharType="end"/>
      </w:r>
    </w:p>
    <w:p>
      <w:pPr>
        <w:ind w:firstLine="3744" w:firstLineChars="1200"/>
        <w:jc w:val="left"/>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588" w:firstLineChars="200"/>
        <w:rPr>
          <w:rFonts w:ascii="宋体" w:cs="宋体"/>
          <w:spacing w:val="-3"/>
          <w:kern w:val="0"/>
          <w:sz w:val="30"/>
          <w:szCs w:val="30"/>
        </w:rPr>
      </w:pPr>
      <w:r>
        <w:rPr>
          <w:rFonts w:ascii="宋体" w:hAnsi="宋体" w:cs="宋体"/>
          <w:spacing w:val="-3"/>
          <w:kern w:val="0"/>
          <w:sz w:val="30"/>
          <w:szCs w:val="30"/>
        </w:rPr>
        <w:t>1</w:t>
      </w:r>
      <w:r>
        <w:rPr>
          <w:rFonts w:hint="eastAsia" w:ascii="宋体" w:hAnsi="宋体" w:cs="宋体"/>
          <w:spacing w:val="-3"/>
          <w:kern w:val="0"/>
          <w:sz w:val="30"/>
          <w:szCs w:val="30"/>
        </w:rPr>
        <w:t>、贯彻执行国家关于交通运输的法律法规和方针政策，拟定全区交通运输行业的规范性文件和发展战略建议。</w:t>
      </w:r>
    </w:p>
    <w:p>
      <w:pPr>
        <w:ind w:firstLine="588" w:firstLineChars="200"/>
        <w:rPr>
          <w:rFonts w:ascii="宋体" w:cs="宋体"/>
          <w:spacing w:val="-3"/>
          <w:kern w:val="0"/>
          <w:sz w:val="30"/>
          <w:szCs w:val="30"/>
        </w:rPr>
      </w:pPr>
      <w:r>
        <w:rPr>
          <w:rFonts w:ascii="宋体" w:hAnsi="宋体" w:cs="宋体"/>
          <w:spacing w:val="-3"/>
          <w:kern w:val="0"/>
          <w:sz w:val="30"/>
          <w:szCs w:val="30"/>
        </w:rPr>
        <w:t>2</w:t>
      </w:r>
      <w:r>
        <w:rPr>
          <w:rFonts w:hint="eastAsia" w:ascii="宋体" w:hAnsi="宋体" w:cs="宋体"/>
          <w:spacing w:val="-3"/>
          <w:kern w:val="0"/>
          <w:sz w:val="30"/>
          <w:szCs w:val="30"/>
        </w:rPr>
        <w:t>、承担涉及全区综合交通运输体系的规划协调工作</w:t>
      </w:r>
      <w:r>
        <w:rPr>
          <w:rFonts w:ascii="宋体" w:cs="宋体"/>
          <w:spacing w:val="-3"/>
          <w:kern w:val="0"/>
          <w:sz w:val="30"/>
          <w:szCs w:val="30"/>
        </w:rPr>
        <w:t>,</w:t>
      </w:r>
      <w:r>
        <w:rPr>
          <w:rFonts w:hint="eastAsia" w:ascii="宋体" w:hAnsi="宋体" w:cs="宋体"/>
          <w:spacing w:val="-3"/>
          <w:kern w:val="0"/>
          <w:sz w:val="30"/>
          <w:szCs w:val="30"/>
        </w:rPr>
        <w:t>会同有关部门组织编制全区综合交通运输体系规划，指导全区交通运输枢纽规划和管理。</w:t>
      </w:r>
    </w:p>
    <w:p>
      <w:pPr>
        <w:ind w:firstLine="588" w:firstLineChars="200"/>
        <w:rPr>
          <w:rFonts w:ascii="宋体" w:cs="宋体"/>
          <w:spacing w:val="-3"/>
          <w:kern w:val="0"/>
          <w:sz w:val="30"/>
          <w:szCs w:val="30"/>
        </w:rPr>
      </w:pPr>
      <w:r>
        <w:rPr>
          <w:rFonts w:ascii="宋体" w:hAnsi="宋体" w:cs="宋体"/>
          <w:spacing w:val="-3"/>
          <w:kern w:val="0"/>
          <w:sz w:val="30"/>
          <w:szCs w:val="30"/>
        </w:rPr>
        <w:t>3</w:t>
      </w:r>
      <w:r>
        <w:rPr>
          <w:rFonts w:hint="eastAsia" w:ascii="宋体" w:hAnsi="宋体" w:cs="宋体"/>
          <w:spacing w:val="-3"/>
          <w:kern w:val="0"/>
          <w:sz w:val="30"/>
          <w:szCs w:val="30"/>
        </w:rPr>
        <w:t>、组织拟订并监督实施全区公路，水路行业规划、政策和标准。参与拟订全区物流业发展战略和规划，拟订有关政策和标准井监督实施。指导全区公路、水路行业有关体制改革工作。</w:t>
      </w:r>
    </w:p>
    <w:p>
      <w:pPr>
        <w:ind w:firstLine="588" w:firstLineChars="200"/>
        <w:rPr>
          <w:rFonts w:ascii="宋体" w:cs="宋体"/>
          <w:spacing w:val="-3"/>
          <w:kern w:val="0"/>
          <w:sz w:val="30"/>
          <w:szCs w:val="30"/>
        </w:rPr>
      </w:pPr>
      <w:r>
        <w:rPr>
          <w:rFonts w:ascii="宋体" w:hAnsi="宋体" w:cs="宋体"/>
          <w:spacing w:val="-3"/>
          <w:kern w:val="0"/>
          <w:sz w:val="30"/>
          <w:szCs w:val="30"/>
        </w:rPr>
        <w:t>4</w:t>
      </w:r>
      <w:r>
        <w:rPr>
          <w:rFonts w:hint="eastAsia" w:ascii="宋体" w:hAnsi="宋体" w:cs="宋体"/>
          <w:spacing w:val="-3"/>
          <w:kern w:val="0"/>
          <w:sz w:val="30"/>
          <w:szCs w:val="30"/>
        </w:rPr>
        <w:t>、承担交通运输综合行政执法责任。负责交通运输综合执法工作的政策制定、监督指导、重大案件查处等工作。</w:t>
      </w:r>
    </w:p>
    <w:p>
      <w:pPr>
        <w:ind w:firstLine="588" w:firstLineChars="200"/>
        <w:rPr>
          <w:rFonts w:ascii="宋体" w:cs="宋体"/>
          <w:spacing w:val="-3"/>
          <w:kern w:val="0"/>
          <w:sz w:val="30"/>
          <w:szCs w:val="30"/>
        </w:rPr>
      </w:pPr>
      <w:r>
        <w:rPr>
          <w:rFonts w:ascii="宋体" w:hAnsi="宋体" w:cs="宋体"/>
          <w:spacing w:val="-3"/>
          <w:kern w:val="0"/>
          <w:sz w:val="30"/>
          <w:szCs w:val="30"/>
        </w:rPr>
        <w:t>5</w:t>
      </w:r>
      <w:r>
        <w:rPr>
          <w:rFonts w:hint="eastAsia" w:ascii="宋体" w:hAnsi="宋体" w:cs="宋体"/>
          <w:spacing w:val="-3"/>
          <w:kern w:val="0"/>
          <w:sz w:val="30"/>
          <w:szCs w:val="30"/>
        </w:rPr>
        <w:t>、承担全区道路、水路运输市场监管责任。监督实施全区道路、水路运输有关政策、准入制度、技术标准和运营规范。负责交通运输行政执法行为的监督管理，指导城乡客运及有关设施规划与管理工作，指导出租汽车行业管理工作，承担区内水路运输及航道管理工作。</w:t>
      </w:r>
    </w:p>
    <w:p>
      <w:pPr>
        <w:ind w:firstLine="588" w:firstLineChars="200"/>
        <w:rPr>
          <w:rFonts w:ascii="宋体" w:cs="宋体"/>
          <w:spacing w:val="-3"/>
          <w:kern w:val="0"/>
          <w:sz w:val="30"/>
          <w:szCs w:val="30"/>
        </w:rPr>
      </w:pPr>
      <w:r>
        <w:rPr>
          <w:rFonts w:ascii="宋体" w:hAnsi="宋体" w:cs="宋体"/>
          <w:spacing w:val="-3"/>
          <w:kern w:val="0"/>
          <w:sz w:val="30"/>
          <w:szCs w:val="30"/>
        </w:rPr>
        <w:t>6</w:t>
      </w:r>
      <w:r>
        <w:rPr>
          <w:rFonts w:hint="eastAsia" w:ascii="宋体" w:hAnsi="宋体" w:cs="宋体"/>
          <w:spacing w:val="-3"/>
          <w:kern w:val="0"/>
          <w:sz w:val="30"/>
          <w:szCs w:val="30"/>
        </w:rPr>
        <w:t>、承担水上交通安全监管责任。负责水上交通管制、船舶及相关水上设施检验、登记和防止污染、水上消防、航行保障、应急救助、通信导航、船舶与渡口设施、保安及危险品运输监督管理等工作；负责船员管理有关工作；负责全区水上交通安全事故、船舶及相关水上设施污染事故的应急处理。</w:t>
      </w:r>
    </w:p>
    <w:p>
      <w:pPr>
        <w:ind w:firstLine="588" w:firstLineChars="200"/>
        <w:rPr>
          <w:rFonts w:ascii="宋体" w:cs="宋体"/>
          <w:spacing w:val="-3"/>
          <w:kern w:val="0"/>
          <w:sz w:val="30"/>
          <w:szCs w:val="30"/>
        </w:rPr>
      </w:pPr>
      <w:r>
        <w:rPr>
          <w:rFonts w:ascii="宋体" w:hAnsi="宋体" w:cs="宋体"/>
          <w:spacing w:val="-3"/>
          <w:kern w:val="0"/>
          <w:sz w:val="30"/>
          <w:szCs w:val="30"/>
        </w:rPr>
        <w:t>7</w:t>
      </w:r>
      <w:r>
        <w:rPr>
          <w:rFonts w:hint="eastAsia" w:ascii="宋体" w:hAnsi="宋体" w:cs="宋体"/>
          <w:spacing w:val="-3"/>
          <w:kern w:val="0"/>
          <w:sz w:val="30"/>
          <w:szCs w:val="30"/>
        </w:rPr>
        <w:t>、负责提出全区公路、水路固定资产投资规模和方向，提出国家及省、市级财政性资金安排意见，按国务院和省、市、区人民政府规定权限审批、核准规划内和年度计划内固定资产投资项目</w:t>
      </w:r>
      <w:r>
        <w:rPr>
          <w:rFonts w:ascii="宋体" w:hAnsi="宋体" w:cs="宋体"/>
          <w:spacing w:val="-3"/>
          <w:kern w:val="0"/>
          <w:sz w:val="30"/>
          <w:szCs w:val="30"/>
        </w:rPr>
        <w:t>;</w:t>
      </w:r>
      <w:r>
        <w:rPr>
          <w:rFonts w:hint="eastAsia" w:ascii="宋体" w:hAnsi="宋体" w:cs="宋体"/>
          <w:spacing w:val="-3"/>
          <w:kern w:val="0"/>
          <w:sz w:val="30"/>
          <w:szCs w:val="30"/>
        </w:rPr>
        <w:t>监督实施公路、水路有关规费政策</w:t>
      </w:r>
      <w:r>
        <w:rPr>
          <w:rFonts w:ascii="宋体" w:cs="宋体"/>
          <w:spacing w:val="-3"/>
          <w:kern w:val="0"/>
          <w:sz w:val="30"/>
          <w:szCs w:val="30"/>
        </w:rPr>
        <w:t>,</w:t>
      </w:r>
      <w:r>
        <w:rPr>
          <w:rFonts w:hint="eastAsia" w:ascii="宋体" w:hAnsi="宋体" w:cs="宋体"/>
          <w:spacing w:val="-3"/>
          <w:kern w:val="0"/>
          <w:sz w:val="30"/>
          <w:szCs w:val="30"/>
        </w:rPr>
        <w:t>提出有关财政、土地、价格等政策建议。</w:t>
      </w:r>
    </w:p>
    <w:p>
      <w:pPr>
        <w:ind w:firstLine="588" w:firstLineChars="200"/>
        <w:rPr>
          <w:rFonts w:ascii="宋体" w:cs="宋体"/>
          <w:spacing w:val="-3"/>
          <w:kern w:val="0"/>
          <w:sz w:val="30"/>
          <w:szCs w:val="30"/>
        </w:rPr>
      </w:pPr>
      <w:r>
        <w:rPr>
          <w:rFonts w:ascii="宋体" w:hAnsi="宋体" w:cs="宋体"/>
          <w:spacing w:val="-3"/>
          <w:kern w:val="0"/>
          <w:sz w:val="30"/>
          <w:szCs w:val="30"/>
        </w:rPr>
        <w:t>8</w:t>
      </w:r>
      <w:r>
        <w:rPr>
          <w:rFonts w:hint="eastAsia" w:ascii="宋体" w:hAnsi="宋体" w:cs="宋体"/>
          <w:spacing w:val="-3"/>
          <w:kern w:val="0"/>
          <w:sz w:val="30"/>
          <w:szCs w:val="30"/>
        </w:rPr>
        <w:t>、承担公路、水路建设市场监管责任。监督实施全区公路、水路工程建设相关政策、制度和技术标准</w:t>
      </w:r>
      <w:r>
        <w:rPr>
          <w:rFonts w:ascii="宋体" w:hAnsi="宋体" w:cs="宋体"/>
          <w:spacing w:val="-3"/>
          <w:kern w:val="0"/>
          <w:sz w:val="30"/>
          <w:szCs w:val="30"/>
        </w:rPr>
        <w:t>;</w:t>
      </w:r>
      <w:r>
        <w:rPr>
          <w:rFonts w:hint="eastAsia" w:ascii="宋体" w:hAnsi="宋体" w:cs="宋体"/>
          <w:spacing w:val="-3"/>
          <w:kern w:val="0"/>
          <w:sz w:val="30"/>
          <w:szCs w:val="30"/>
        </w:rPr>
        <w:t>组织实施农村公路、水路建设、管理、运营工作，承担公路工程质量、安全生产监督管理工作；按规定负责渡口规划和岸线使用管理工作；实施公路路政、治理超限超载管理工作；</w:t>
      </w:r>
    </w:p>
    <w:p>
      <w:pPr>
        <w:ind w:firstLine="588" w:firstLineChars="200"/>
        <w:rPr>
          <w:rFonts w:ascii="宋体" w:cs="宋体"/>
          <w:spacing w:val="-3"/>
          <w:kern w:val="0"/>
          <w:sz w:val="30"/>
          <w:szCs w:val="30"/>
        </w:rPr>
      </w:pPr>
      <w:r>
        <w:rPr>
          <w:rFonts w:ascii="宋体" w:hAnsi="宋体" w:cs="宋体"/>
          <w:spacing w:val="-3"/>
          <w:kern w:val="0"/>
          <w:sz w:val="30"/>
          <w:szCs w:val="30"/>
        </w:rPr>
        <w:t>9</w:t>
      </w:r>
      <w:r>
        <w:rPr>
          <w:rFonts w:hint="eastAsia" w:ascii="宋体" w:hAnsi="宋体" w:cs="宋体"/>
          <w:spacing w:val="-3"/>
          <w:kern w:val="0"/>
          <w:sz w:val="30"/>
          <w:szCs w:val="30"/>
        </w:rPr>
        <w:t>、指导全区公路、水路行业安全生产和应急管理工作。按规定组织协调重点物资和紧急客货运输</w:t>
      </w:r>
      <w:r>
        <w:rPr>
          <w:rFonts w:ascii="宋体" w:hAnsi="宋体" w:cs="宋体"/>
          <w:spacing w:val="-3"/>
          <w:kern w:val="0"/>
          <w:sz w:val="30"/>
          <w:szCs w:val="30"/>
        </w:rPr>
        <w:t>;</w:t>
      </w:r>
      <w:r>
        <w:rPr>
          <w:rFonts w:hint="eastAsia" w:ascii="宋体" w:hAnsi="宋体" w:cs="宋体"/>
          <w:spacing w:val="-3"/>
          <w:kern w:val="0"/>
          <w:sz w:val="30"/>
          <w:szCs w:val="30"/>
        </w:rPr>
        <w:t>承担国防动员交通战备有关工作</w:t>
      </w:r>
      <w:r>
        <w:rPr>
          <w:rFonts w:ascii="宋体" w:hAnsi="宋体" w:cs="宋体"/>
          <w:spacing w:val="-3"/>
          <w:kern w:val="0"/>
          <w:sz w:val="30"/>
          <w:szCs w:val="30"/>
        </w:rPr>
        <w:t>;</w:t>
      </w:r>
      <w:r>
        <w:rPr>
          <w:rFonts w:hint="eastAsia" w:ascii="宋体" w:hAnsi="宋体" w:cs="宋体"/>
          <w:spacing w:val="-3"/>
          <w:kern w:val="0"/>
          <w:sz w:val="30"/>
          <w:szCs w:val="30"/>
        </w:rPr>
        <w:t>指导交通运输行业公安保卫工作。</w:t>
      </w:r>
    </w:p>
    <w:p>
      <w:pPr>
        <w:ind w:firstLine="588" w:firstLineChars="200"/>
        <w:rPr>
          <w:rFonts w:ascii="宋体" w:cs="宋体"/>
          <w:spacing w:val="-3"/>
          <w:kern w:val="0"/>
          <w:sz w:val="30"/>
          <w:szCs w:val="30"/>
        </w:rPr>
      </w:pPr>
      <w:r>
        <w:rPr>
          <w:rFonts w:ascii="宋体" w:hAnsi="宋体" w:cs="宋体"/>
          <w:spacing w:val="-3"/>
          <w:kern w:val="0"/>
          <w:sz w:val="30"/>
          <w:szCs w:val="30"/>
        </w:rPr>
        <w:t>10</w:t>
      </w:r>
      <w:r>
        <w:rPr>
          <w:rFonts w:hint="eastAsia" w:ascii="宋体" w:hAnsi="宋体" w:cs="宋体"/>
          <w:spacing w:val="-3"/>
          <w:kern w:val="0"/>
          <w:sz w:val="30"/>
          <w:szCs w:val="30"/>
        </w:rPr>
        <w:t>、指导全区交通运输信息化建设、监测分析运行情况，开展相关统计工作</w:t>
      </w:r>
      <w:r>
        <w:rPr>
          <w:rFonts w:ascii="宋体" w:cs="宋体"/>
          <w:spacing w:val="-3"/>
          <w:kern w:val="0"/>
          <w:sz w:val="30"/>
          <w:szCs w:val="30"/>
        </w:rPr>
        <w:t>,</w:t>
      </w:r>
      <w:r>
        <w:rPr>
          <w:rFonts w:hint="eastAsia" w:ascii="宋体" w:hAnsi="宋体" w:cs="宋体"/>
          <w:spacing w:val="-3"/>
          <w:kern w:val="0"/>
          <w:sz w:val="30"/>
          <w:szCs w:val="30"/>
        </w:rPr>
        <w:t>发布有关信息</w:t>
      </w:r>
      <w:r>
        <w:rPr>
          <w:rFonts w:ascii="宋体" w:hAnsi="宋体" w:cs="宋体"/>
          <w:spacing w:val="-3"/>
          <w:kern w:val="0"/>
          <w:sz w:val="30"/>
          <w:szCs w:val="30"/>
        </w:rPr>
        <w:t>;</w:t>
      </w:r>
      <w:r>
        <w:rPr>
          <w:rFonts w:hint="eastAsia" w:ascii="宋体" w:hAnsi="宋体" w:cs="宋体"/>
          <w:spacing w:val="-3"/>
          <w:kern w:val="0"/>
          <w:sz w:val="30"/>
          <w:szCs w:val="30"/>
        </w:rPr>
        <w:t>对交通行政行为信息进行收集管理。组织和指导全区公路、水路行业科技开发、环境保护和节能减排等工作。</w:t>
      </w:r>
    </w:p>
    <w:p>
      <w:pPr>
        <w:ind w:firstLine="588" w:firstLineChars="200"/>
        <w:rPr>
          <w:rFonts w:ascii="宋体" w:cs="宋体"/>
          <w:spacing w:val="-3"/>
          <w:kern w:val="0"/>
          <w:sz w:val="30"/>
          <w:szCs w:val="30"/>
        </w:rPr>
      </w:pPr>
      <w:r>
        <w:rPr>
          <w:rFonts w:ascii="宋体" w:hAnsi="宋体" w:cs="宋体"/>
          <w:spacing w:val="-3"/>
          <w:kern w:val="0"/>
          <w:sz w:val="30"/>
          <w:szCs w:val="30"/>
        </w:rPr>
        <w:t>11</w:t>
      </w:r>
      <w:r>
        <w:rPr>
          <w:rFonts w:hint="eastAsia" w:ascii="宋体" w:hAnsi="宋体" w:cs="宋体"/>
          <w:spacing w:val="-3"/>
          <w:kern w:val="0"/>
          <w:sz w:val="30"/>
          <w:szCs w:val="30"/>
        </w:rPr>
        <w:t>、指导交通运输行业职工队伍建设。负责交通运输行业涉外工作和引进外资工作</w:t>
      </w:r>
      <w:r>
        <w:rPr>
          <w:rFonts w:ascii="宋体" w:cs="宋体"/>
          <w:spacing w:val="-3"/>
          <w:kern w:val="0"/>
          <w:sz w:val="30"/>
          <w:szCs w:val="30"/>
        </w:rPr>
        <w:t>,</w:t>
      </w:r>
      <w:r>
        <w:rPr>
          <w:rFonts w:hint="eastAsia" w:ascii="宋体" w:hAnsi="宋体" w:cs="宋体"/>
          <w:spacing w:val="-3"/>
          <w:kern w:val="0"/>
          <w:sz w:val="30"/>
          <w:szCs w:val="30"/>
        </w:rPr>
        <w:t>开展国际、省际、市际、区际合作与交流。</w:t>
      </w:r>
    </w:p>
    <w:p>
      <w:pPr>
        <w:ind w:firstLine="588" w:firstLineChars="200"/>
        <w:rPr>
          <w:rFonts w:ascii="仿宋" w:hAnsi="仿宋" w:eastAsia="仿宋" w:cs="仿宋"/>
          <w:sz w:val="32"/>
          <w:szCs w:val="32"/>
        </w:rPr>
      </w:pPr>
      <w:r>
        <w:rPr>
          <w:rFonts w:ascii="宋体" w:hAnsi="宋体" w:cs="宋体"/>
          <w:spacing w:val="-3"/>
          <w:kern w:val="0"/>
          <w:sz w:val="30"/>
          <w:szCs w:val="30"/>
        </w:rPr>
        <w:t>12</w:t>
      </w:r>
      <w:r>
        <w:rPr>
          <w:rFonts w:hint="eastAsia" w:ascii="宋体" w:hAnsi="宋体" w:cs="宋体"/>
          <w:spacing w:val="-3"/>
          <w:kern w:val="0"/>
          <w:sz w:val="30"/>
          <w:szCs w:val="30"/>
        </w:rPr>
        <w:t>、完成区委区政府交办的其他任务。</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ind w:firstLine="588" w:firstLineChars="200"/>
        <w:rPr>
          <w:rFonts w:ascii="宋体" w:cs="宋体"/>
          <w:spacing w:val="-3"/>
          <w:kern w:val="0"/>
          <w:sz w:val="30"/>
          <w:szCs w:val="30"/>
        </w:rPr>
      </w:pPr>
      <w:r>
        <w:rPr>
          <w:rFonts w:hint="eastAsia" w:ascii="宋体" w:hAnsi="宋体" w:cs="宋体"/>
          <w:spacing w:val="-3"/>
          <w:kern w:val="0"/>
          <w:sz w:val="30"/>
          <w:szCs w:val="30"/>
        </w:rPr>
        <w:t>我单位设置</w:t>
      </w:r>
      <w:r>
        <w:rPr>
          <w:rFonts w:ascii="宋体" w:hAnsi="宋体" w:cs="宋体"/>
          <w:spacing w:val="-3"/>
          <w:kern w:val="0"/>
          <w:sz w:val="30"/>
          <w:szCs w:val="30"/>
        </w:rPr>
        <w:t>4</w:t>
      </w:r>
      <w:r>
        <w:rPr>
          <w:rFonts w:hint="eastAsia" w:ascii="宋体" w:hAnsi="宋体" w:cs="宋体"/>
          <w:spacing w:val="-3"/>
          <w:kern w:val="0"/>
          <w:sz w:val="30"/>
          <w:szCs w:val="30"/>
        </w:rPr>
        <w:t>个股室，分别是秘书股、道路股、运管股、应急股，</w:t>
      </w:r>
    </w:p>
    <w:p>
      <w:pPr>
        <w:ind w:firstLine="588" w:firstLineChars="200"/>
        <w:rPr>
          <w:rFonts w:ascii="宋体" w:cs="宋体"/>
          <w:spacing w:val="-3"/>
          <w:kern w:val="0"/>
          <w:sz w:val="30"/>
          <w:szCs w:val="30"/>
        </w:rPr>
      </w:pPr>
      <w:r>
        <w:rPr>
          <w:rFonts w:hint="eastAsia" w:ascii="宋体" w:hAnsi="宋体" w:cs="宋体"/>
          <w:spacing w:val="-3"/>
          <w:kern w:val="0"/>
          <w:sz w:val="30"/>
          <w:szCs w:val="30"/>
        </w:rPr>
        <w:t>（一）秘书股</w:t>
      </w:r>
    </w:p>
    <w:p>
      <w:pPr>
        <w:ind w:firstLine="588" w:firstLineChars="200"/>
        <w:rPr>
          <w:rFonts w:ascii="宋体" w:cs="宋体"/>
          <w:spacing w:val="-3"/>
          <w:kern w:val="0"/>
          <w:sz w:val="30"/>
          <w:szCs w:val="30"/>
        </w:rPr>
      </w:pPr>
      <w:r>
        <w:rPr>
          <w:rFonts w:hint="eastAsia" w:ascii="宋体" w:hAnsi="宋体" w:cs="宋体"/>
          <w:spacing w:val="-3"/>
          <w:kern w:val="0"/>
          <w:sz w:val="30"/>
          <w:szCs w:val="30"/>
        </w:rPr>
        <w:t>负责机关日常运转工作。承办综合性报告、综合性文件起草工作</w:t>
      </w:r>
      <w:r>
        <w:rPr>
          <w:rFonts w:ascii="宋体" w:hAnsi="宋体" w:cs="宋体"/>
          <w:spacing w:val="-3"/>
          <w:kern w:val="0"/>
          <w:sz w:val="30"/>
          <w:szCs w:val="30"/>
        </w:rPr>
        <w:t>;</w:t>
      </w:r>
      <w:r>
        <w:rPr>
          <w:rFonts w:hint="eastAsia" w:ascii="宋体" w:hAnsi="宋体" w:cs="宋体"/>
          <w:spacing w:val="-3"/>
          <w:kern w:val="0"/>
          <w:sz w:val="30"/>
          <w:szCs w:val="30"/>
        </w:rPr>
        <w:t>负责有关重要会议、活动的组织</w:t>
      </w:r>
      <w:r>
        <w:rPr>
          <w:rFonts w:ascii="宋体" w:hAnsi="宋体" w:cs="宋体"/>
          <w:spacing w:val="-3"/>
          <w:kern w:val="0"/>
          <w:sz w:val="30"/>
          <w:szCs w:val="30"/>
        </w:rPr>
        <w:t>;</w:t>
      </w:r>
      <w:r>
        <w:rPr>
          <w:rFonts w:hint="eastAsia" w:ascii="宋体" w:hAnsi="宋体" w:cs="宋体"/>
          <w:spacing w:val="-3"/>
          <w:kern w:val="0"/>
          <w:sz w:val="30"/>
          <w:szCs w:val="30"/>
        </w:rPr>
        <w:t>承办局机关文秘、信息、督查、机要、宣传、档案、保密、值班、接待等工作</w:t>
      </w:r>
      <w:r>
        <w:rPr>
          <w:rFonts w:ascii="宋体" w:hAnsi="宋体" w:cs="宋体"/>
          <w:spacing w:val="-3"/>
          <w:kern w:val="0"/>
          <w:sz w:val="30"/>
          <w:szCs w:val="30"/>
        </w:rPr>
        <w:t>;</w:t>
      </w:r>
      <w:r>
        <w:rPr>
          <w:rFonts w:hint="eastAsia" w:ascii="宋体" w:hAnsi="宋体" w:cs="宋体"/>
          <w:spacing w:val="-3"/>
          <w:kern w:val="0"/>
          <w:sz w:val="30"/>
          <w:szCs w:val="30"/>
        </w:rPr>
        <w:t>牵头组织交通运输目标责任制考核、建议提案办理和政府采购工作；负责党建工作及工、青、妇组织协调工作；负责局机关后勤行政管理工作。承担人事劳资、机构编制、离退休人员管理服务、教育培训、职业资格制度建设、技术职称评审工作</w:t>
      </w:r>
      <w:r>
        <w:rPr>
          <w:rFonts w:ascii="宋体" w:hAnsi="宋体" w:cs="宋体"/>
          <w:spacing w:val="-3"/>
          <w:kern w:val="0"/>
          <w:sz w:val="30"/>
          <w:szCs w:val="30"/>
        </w:rPr>
        <w:t>;</w:t>
      </w:r>
      <w:r>
        <w:rPr>
          <w:rFonts w:hint="eastAsia" w:ascii="宋体" w:hAnsi="宋体" w:cs="宋体"/>
          <w:spacing w:val="-3"/>
          <w:kern w:val="0"/>
          <w:sz w:val="30"/>
          <w:szCs w:val="30"/>
        </w:rPr>
        <w:t>承担业务主管社会团体相关事务</w:t>
      </w:r>
      <w:r>
        <w:rPr>
          <w:rFonts w:ascii="宋体" w:hAnsi="宋体" w:cs="宋体"/>
          <w:spacing w:val="-3"/>
          <w:kern w:val="0"/>
          <w:sz w:val="30"/>
          <w:szCs w:val="30"/>
        </w:rPr>
        <w:t>;</w:t>
      </w:r>
      <w:r>
        <w:rPr>
          <w:rFonts w:hint="eastAsia" w:ascii="宋体" w:hAnsi="宋体" w:cs="宋体"/>
          <w:spacing w:val="-3"/>
          <w:kern w:val="0"/>
          <w:sz w:val="30"/>
          <w:szCs w:val="30"/>
        </w:rPr>
        <w:t>指导全区交通运输行业人才队伍建设工作。负责财务方面工作。</w:t>
      </w:r>
    </w:p>
    <w:p>
      <w:pPr>
        <w:ind w:firstLine="588" w:firstLineChars="200"/>
        <w:rPr>
          <w:rFonts w:ascii="宋体" w:cs="宋体"/>
          <w:spacing w:val="-3"/>
          <w:kern w:val="0"/>
          <w:sz w:val="30"/>
          <w:szCs w:val="30"/>
        </w:rPr>
      </w:pPr>
      <w:r>
        <w:rPr>
          <w:rFonts w:hint="eastAsia" w:ascii="宋体" w:hAnsi="宋体" w:cs="宋体"/>
          <w:spacing w:val="-3"/>
          <w:kern w:val="0"/>
          <w:sz w:val="30"/>
          <w:szCs w:val="30"/>
        </w:rPr>
        <w:t>负责拟订全区交通运输行业规范性文件和发展规划，组织实施全区交通运输行业发展政策、体制改革与结构调整方案，承担交通运输综合行政执法工作的政策标准制定工作，承办相关行政监督、行政审批、行政裁决、行政复议、行政应诉和行政赔偿工作</w:t>
      </w:r>
      <w:r>
        <w:rPr>
          <w:rFonts w:ascii="宋体" w:hAnsi="宋体" w:cs="宋体"/>
          <w:spacing w:val="-3"/>
          <w:kern w:val="0"/>
          <w:sz w:val="30"/>
          <w:szCs w:val="30"/>
        </w:rPr>
        <w:t>;</w:t>
      </w:r>
      <w:r>
        <w:rPr>
          <w:rFonts w:hint="eastAsia" w:ascii="宋体" w:hAnsi="宋体" w:cs="宋体"/>
          <w:spacing w:val="-3"/>
          <w:kern w:val="0"/>
          <w:sz w:val="30"/>
          <w:szCs w:val="30"/>
        </w:rPr>
        <w:t>负责交通行政执法行为监督工作；负责交通法制宣传教育、精神文明建设工作。</w:t>
      </w:r>
    </w:p>
    <w:p>
      <w:pPr>
        <w:ind w:firstLine="588" w:firstLineChars="200"/>
        <w:rPr>
          <w:rFonts w:ascii="宋体" w:cs="宋体"/>
          <w:spacing w:val="-3"/>
          <w:kern w:val="0"/>
          <w:sz w:val="30"/>
          <w:szCs w:val="30"/>
        </w:rPr>
      </w:pPr>
      <w:r>
        <w:rPr>
          <w:rFonts w:hint="eastAsia" w:ascii="宋体" w:hAnsi="宋体" w:cs="宋体"/>
          <w:spacing w:val="-3"/>
          <w:kern w:val="0"/>
          <w:sz w:val="30"/>
          <w:szCs w:val="30"/>
        </w:rPr>
        <w:t>负责本部门政务服务管理工作，负责本部门具有审批性质行政职权事项的行政许可、行政受理、证件发放、协调、督办等工作；承担城市管理政务信息交通运输行政行为相关数据的收集整理工作</w:t>
      </w:r>
      <w:r>
        <w:rPr>
          <w:rFonts w:ascii="宋体" w:cs="宋体"/>
          <w:spacing w:val="-3"/>
          <w:kern w:val="0"/>
          <w:sz w:val="30"/>
          <w:szCs w:val="30"/>
        </w:rPr>
        <w:t>,</w:t>
      </w:r>
      <w:r>
        <w:rPr>
          <w:rFonts w:hint="eastAsia" w:ascii="宋体" w:hAnsi="宋体" w:cs="宋体"/>
          <w:spacing w:val="-3"/>
          <w:kern w:val="0"/>
          <w:sz w:val="30"/>
          <w:szCs w:val="30"/>
        </w:rPr>
        <w:t>指导本系统行政审批制度改革等工作；承担重大案件查处和跨区域执法的组织协调工作。</w:t>
      </w:r>
    </w:p>
    <w:p>
      <w:pPr>
        <w:ind w:firstLine="588" w:firstLineChars="200"/>
        <w:rPr>
          <w:rFonts w:ascii="宋体" w:cs="宋体"/>
          <w:spacing w:val="-3"/>
          <w:kern w:val="0"/>
          <w:sz w:val="30"/>
          <w:szCs w:val="30"/>
        </w:rPr>
      </w:pPr>
      <w:r>
        <w:rPr>
          <w:rFonts w:hint="eastAsia" w:ascii="宋体" w:hAnsi="宋体" w:cs="宋体"/>
          <w:spacing w:val="-3"/>
          <w:kern w:val="0"/>
          <w:sz w:val="30"/>
          <w:szCs w:val="30"/>
        </w:rPr>
        <w:t>（二）道路股</w:t>
      </w:r>
    </w:p>
    <w:p>
      <w:pPr>
        <w:ind w:firstLine="588" w:firstLineChars="200"/>
        <w:rPr>
          <w:rFonts w:ascii="宋体" w:cs="宋体"/>
          <w:spacing w:val="-3"/>
          <w:kern w:val="0"/>
          <w:sz w:val="30"/>
          <w:szCs w:val="30"/>
        </w:rPr>
      </w:pPr>
      <w:r>
        <w:rPr>
          <w:rFonts w:hint="eastAsia" w:ascii="宋体" w:hAnsi="宋体" w:cs="宋体"/>
          <w:spacing w:val="-3"/>
          <w:kern w:val="0"/>
          <w:sz w:val="30"/>
          <w:szCs w:val="30"/>
        </w:rPr>
        <w:t>组织起草公路行业规划、中长期发展规划和专项规划</w:t>
      </w:r>
      <w:r>
        <w:rPr>
          <w:rFonts w:ascii="宋体" w:cs="宋体"/>
          <w:spacing w:val="-3"/>
          <w:kern w:val="0"/>
          <w:sz w:val="30"/>
          <w:szCs w:val="30"/>
        </w:rPr>
        <w:t>,</w:t>
      </w:r>
      <w:r>
        <w:rPr>
          <w:rFonts w:hint="eastAsia" w:ascii="宋体" w:hAnsi="宋体" w:cs="宋体"/>
          <w:spacing w:val="-3"/>
          <w:kern w:val="0"/>
          <w:sz w:val="30"/>
          <w:szCs w:val="30"/>
        </w:rPr>
        <w:t>参与拟定物流业发展战略和规划；承担有关规划和建设项目可行性研究前期工作审核</w:t>
      </w:r>
      <w:r>
        <w:rPr>
          <w:rFonts w:ascii="宋体" w:hAnsi="宋体" w:cs="宋体"/>
          <w:spacing w:val="-3"/>
          <w:kern w:val="0"/>
          <w:sz w:val="30"/>
          <w:szCs w:val="30"/>
        </w:rPr>
        <w:t>;</w:t>
      </w:r>
      <w:r>
        <w:rPr>
          <w:rFonts w:hint="eastAsia" w:ascii="宋体" w:hAnsi="宋体" w:cs="宋体"/>
          <w:spacing w:val="-3"/>
          <w:kern w:val="0"/>
          <w:sz w:val="30"/>
          <w:szCs w:val="30"/>
        </w:rPr>
        <w:t>提出全区交通运输有关专项资金投资安排建议和预算，并监督实施</w:t>
      </w:r>
      <w:r>
        <w:rPr>
          <w:rFonts w:ascii="宋体" w:hAnsi="宋体" w:cs="宋体"/>
          <w:spacing w:val="-3"/>
          <w:kern w:val="0"/>
          <w:sz w:val="30"/>
          <w:szCs w:val="30"/>
        </w:rPr>
        <w:t>;</w:t>
      </w:r>
      <w:r>
        <w:rPr>
          <w:rFonts w:hint="eastAsia" w:ascii="宋体" w:hAnsi="宋体" w:cs="宋体"/>
          <w:spacing w:val="-3"/>
          <w:kern w:val="0"/>
          <w:sz w:val="30"/>
          <w:szCs w:val="30"/>
        </w:rPr>
        <w:t>承担本行业招商引资工作</w:t>
      </w:r>
      <w:r>
        <w:rPr>
          <w:rFonts w:ascii="宋体" w:hAnsi="宋体" w:cs="宋体"/>
          <w:spacing w:val="-3"/>
          <w:kern w:val="0"/>
          <w:sz w:val="30"/>
          <w:szCs w:val="30"/>
        </w:rPr>
        <w:t>;</w:t>
      </w:r>
      <w:r>
        <w:rPr>
          <w:rFonts w:hint="eastAsia" w:ascii="宋体" w:hAnsi="宋体" w:cs="宋体"/>
          <w:spacing w:val="-3"/>
          <w:kern w:val="0"/>
          <w:sz w:val="30"/>
          <w:szCs w:val="30"/>
        </w:rPr>
        <w:t>承担交通行业统计工作，进行各种数据信息的收集汇总、整理上报、对外发布工作</w:t>
      </w:r>
      <w:r>
        <w:rPr>
          <w:rFonts w:ascii="宋体" w:hAnsi="宋体" w:cs="宋体"/>
          <w:spacing w:val="-3"/>
          <w:kern w:val="0"/>
          <w:sz w:val="30"/>
          <w:szCs w:val="30"/>
        </w:rPr>
        <w:t>;</w:t>
      </w:r>
      <w:r>
        <w:rPr>
          <w:rFonts w:hint="eastAsia" w:ascii="宋体" w:hAnsi="宋体" w:cs="宋体"/>
          <w:spacing w:val="-3"/>
          <w:kern w:val="0"/>
          <w:sz w:val="30"/>
          <w:szCs w:val="30"/>
        </w:rPr>
        <w:t>指导交通运输枢纽和场站建设规划。</w:t>
      </w:r>
    </w:p>
    <w:p>
      <w:pPr>
        <w:ind w:firstLine="588" w:firstLineChars="200"/>
        <w:rPr>
          <w:rFonts w:ascii="宋体" w:cs="宋体"/>
          <w:spacing w:val="-3"/>
          <w:kern w:val="0"/>
          <w:sz w:val="30"/>
          <w:szCs w:val="30"/>
        </w:rPr>
      </w:pPr>
      <w:r>
        <w:rPr>
          <w:rFonts w:hint="eastAsia" w:ascii="宋体" w:hAnsi="宋体" w:cs="宋体"/>
          <w:spacing w:val="-3"/>
          <w:kern w:val="0"/>
          <w:sz w:val="30"/>
          <w:szCs w:val="30"/>
        </w:rPr>
        <w:t>拟定公路、水路基础设施建设、维护相关政策、制度并监督实施，指导农村公路、水路建设市场监管工作，维护公路、水路建设市场的平等竞争秩序；参与公路、水路年度计划和中长期发展规划的拟订工作；承担全区农村公路建设、养护、管理工作。</w:t>
      </w:r>
    </w:p>
    <w:p>
      <w:pPr>
        <w:ind w:firstLine="588" w:firstLineChars="200"/>
        <w:rPr>
          <w:rFonts w:ascii="宋体" w:cs="宋体"/>
          <w:spacing w:val="-3"/>
          <w:kern w:val="0"/>
          <w:sz w:val="30"/>
          <w:szCs w:val="30"/>
        </w:rPr>
      </w:pPr>
      <w:r>
        <w:rPr>
          <w:rFonts w:hint="eastAsia" w:ascii="宋体" w:hAnsi="宋体" w:cs="宋体"/>
          <w:spacing w:val="-3"/>
          <w:kern w:val="0"/>
          <w:sz w:val="30"/>
          <w:szCs w:val="30"/>
        </w:rPr>
        <w:t>承担全区公路路政管理工作；负责全区农村公路工程质量监督及交竣工质量鉴定验收工作；参与公路、水路质量安全事故调查工作；监督实施交通基础设施建设、维护技术规范、规程，承担有关标准、质量和计量工作，开展交通科技开发、成果推广、对外技术合作和交流工作。</w:t>
      </w:r>
    </w:p>
    <w:p>
      <w:pPr>
        <w:ind w:firstLine="588" w:firstLineChars="200"/>
        <w:rPr>
          <w:rFonts w:ascii="宋体" w:cs="宋体"/>
          <w:spacing w:val="-3"/>
          <w:kern w:val="0"/>
          <w:sz w:val="30"/>
          <w:szCs w:val="30"/>
        </w:rPr>
      </w:pPr>
      <w:r>
        <w:rPr>
          <w:rFonts w:hint="eastAsia" w:ascii="宋体" w:hAnsi="宋体" w:cs="宋体"/>
          <w:spacing w:val="-3"/>
          <w:kern w:val="0"/>
          <w:sz w:val="30"/>
          <w:szCs w:val="30"/>
        </w:rPr>
        <w:t>（三）运管股</w:t>
      </w:r>
    </w:p>
    <w:p>
      <w:pPr>
        <w:ind w:firstLine="588" w:firstLineChars="200"/>
        <w:rPr>
          <w:rFonts w:ascii="宋体" w:cs="宋体"/>
          <w:spacing w:val="-3"/>
          <w:kern w:val="0"/>
          <w:sz w:val="30"/>
          <w:szCs w:val="30"/>
        </w:rPr>
      </w:pPr>
      <w:r>
        <w:rPr>
          <w:rFonts w:hint="eastAsia" w:ascii="宋体" w:hAnsi="宋体" w:cs="宋体"/>
          <w:spacing w:val="-3"/>
          <w:kern w:val="0"/>
          <w:sz w:val="30"/>
          <w:szCs w:val="30"/>
        </w:rPr>
        <w:t>参与拟定区综合运输体系发展战略和规划，承担综合运输体系建设与发展的协调工作，监督实施相关政策、制度、规范和标准</w:t>
      </w:r>
      <w:r>
        <w:rPr>
          <w:rFonts w:ascii="宋体" w:hAnsi="宋体" w:cs="宋体"/>
          <w:spacing w:val="-3"/>
          <w:kern w:val="0"/>
          <w:sz w:val="30"/>
          <w:szCs w:val="30"/>
        </w:rPr>
        <w:t>;</w:t>
      </w:r>
      <w:r>
        <w:rPr>
          <w:rFonts w:hint="eastAsia" w:ascii="宋体" w:hAnsi="宋体" w:cs="宋体"/>
          <w:spacing w:val="-3"/>
          <w:kern w:val="0"/>
          <w:sz w:val="30"/>
          <w:szCs w:val="30"/>
        </w:rPr>
        <w:t>承担全区道路和水路运输市场监督管理工作，承担物流市场有关管理工作</w:t>
      </w:r>
      <w:r>
        <w:rPr>
          <w:rFonts w:ascii="宋体" w:hAnsi="宋体" w:cs="宋体"/>
          <w:spacing w:val="-3"/>
          <w:kern w:val="0"/>
          <w:sz w:val="30"/>
          <w:szCs w:val="30"/>
        </w:rPr>
        <w:t>;</w:t>
      </w:r>
      <w:r>
        <w:rPr>
          <w:rFonts w:hint="eastAsia" w:ascii="宋体" w:hAnsi="宋体" w:cs="宋体"/>
          <w:spacing w:val="-3"/>
          <w:kern w:val="0"/>
          <w:sz w:val="30"/>
          <w:szCs w:val="30"/>
        </w:rPr>
        <w:t>承担全区机动车维修与检测的行业管理工作，负责环境保护、节能减排工作；承担全区道路、水路、物流、机动车维修等行业的行政管理工作。</w:t>
      </w:r>
    </w:p>
    <w:p>
      <w:pPr>
        <w:ind w:firstLine="588" w:firstLineChars="200"/>
        <w:rPr>
          <w:rFonts w:ascii="宋体" w:cs="宋体"/>
          <w:spacing w:val="-3"/>
          <w:kern w:val="0"/>
          <w:sz w:val="30"/>
          <w:szCs w:val="30"/>
        </w:rPr>
      </w:pPr>
      <w:r>
        <w:rPr>
          <w:rFonts w:hint="eastAsia" w:ascii="宋体" w:hAnsi="宋体" w:cs="宋体"/>
          <w:spacing w:val="-3"/>
          <w:kern w:val="0"/>
          <w:sz w:val="30"/>
          <w:szCs w:val="30"/>
        </w:rPr>
        <w:t>组织贯彻实施全区城市客运、驾管、海事、治超等相关政策、规范、标准，拟定相关行业的工作实施方案、总体规划；承担全区城市客运管理工作；承担全区驾驶员学校管理和服务工作；承担全区地方海事和水路运政管理及全区港航、船舶（含渔船）及水上浮动设施技术检验的管理监督工作；参与道路、水路运输事故调查工作；负责全区城市客运、驾管、海事、治超等相关行业的协调、指导工作。组织治超、路政、运政等公路交通行政执法人员开展路面执法，查处违法超限超载运输车辆。</w:t>
      </w:r>
    </w:p>
    <w:p>
      <w:pPr>
        <w:ind w:firstLine="588" w:firstLineChars="200"/>
        <w:rPr>
          <w:rFonts w:ascii="宋体" w:cs="宋体"/>
          <w:spacing w:val="-3"/>
          <w:kern w:val="0"/>
          <w:sz w:val="30"/>
          <w:szCs w:val="30"/>
        </w:rPr>
      </w:pPr>
      <w:r>
        <w:rPr>
          <w:rFonts w:hint="eastAsia" w:ascii="宋体" w:hAnsi="宋体" w:cs="宋体"/>
          <w:spacing w:val="-3"/>
          <w:kern w:val="0"/>
          <w:sz w:val="30"/>
          <w:szCs w:val="30"/>
        </w:rPr>
        <w:t>（四）应急股（战备办）</w:t>
      </w:r>
    </w:p>
    <w:p>
      <w:pPr>
        <w:ind w:firstLine="588" w:firstLineChars="200"/>
        <w:rPr>
          <w:rFonts w:ascii="宋体" w:cs="宋体"/>
          <w:spacing w:val="-3"/>
          <w:kern w:val="0"/>
          <w:sz w:val="30"/>
          <w:szCs w:val="30"/>
        </w:rPr>
      </w:pPr>
      <w:r>
        <w:rPr>
          <w:rFonts w:hint="eastAsia" w:ascii="宋体" w:hAnsi="宋体" w:cs="宋体"/>
          <w:spacing w:val="-3"/>
          <w:kern w:val="0"/>
          <w:sz w:val="30"/>
          <w:szCs w:val="30"/>
        </w:rPr>
        <w:t>拟定并监督实施公路、水路安全生产政策和应急预案</w:t>
      </w:r>
      <w:r>
        <w:rPr>
          <w:rFonts w:ascii="宋体" w:hAnsi="宋体" w:cs="宋体"/>
          <w:spacing w:val="-3"/>
          <w:kern w:val="0"/>
          <w:sz w:val="30"/>
          <w:szCs w:val="30"/>
        </w:rPr>
        <w:t xml:space="preserve">; </w:t>
      </w:r>
      <w:r>
        <w:rPr>
          <w:rFonts w:hint="eastAsia" w:ascii="宋体" w:hAnsi="宋体" w:cs="宋体"/>
          <w:spacing w:val="-3"/>
          <w:kern w:val="0"/>
          <w:sz w:val="30"/>
          <w:szCs w:val="30"/>
        </w:rPr>
        <w:t>指导全区交通运输行业安全生产和应急处置体系建设</w:t>
      </w:r>
      <w:r>
        <w:rPr>
          <w:rFonts w:ascii="宋体" w:hAnsi="宋体" w:cs="宋体"/>
          <w:spacing w:val="-3"/>
          <w:kern w:val="0"/>
          <w:sz w:val="30"/>
          <w:szCs w:val="30"/>
        </w:rPr>
        <w:t>;</w:t>
      </w:r>
      <w:r>
        <w:rPr>
          <w:rFonts w:hint="eastAsia" w:ascii="宋体" w:hAnsi="宋体" w:cs="宋体"/>
          <w:spacing w:val="-3"/>
          <w:kern w:val="0"/>
          <w:sz w:val="30"/>
          <w:szCs w:val="30"/>
        </w:rPr>
        <w:t>承担全区交通基础设施建设和公路、水路运输企业安全生产的监督管理工作；负责危险化学品道路运输、水路运输的安全监督管理工作</w:t>
      </w:r>
      <w:r>
        <w:rPr>
          <w:rFonts w:ascii="宋体" w:hAnsi="宋体" w:cs="宋体"/>
          <w:spacing w:val="-3"/>
          <w:kern w:val="0"/>
          <w:sz w:val="30"/>
          <w:szCs w:val="30"/>
        </w:rPr>
        <w:t>;</w:t>
      </w:r>
    </w:p>
    <w:p>
      <w:pPr>
        <w:ind w:firstLine="588" w:firstLineChars="200"/>
        <w:rPr>
          <w:rFonts w:ascii="宋体" w:cs="宋体"/>
          <w:spacing w:val="-3"/>
          <w:kern w:val="0"/>
          <w:sz w:val="30"/>
          <w:szCs w:val="30"/>
        </w:rPr>
      </w:pPr>
      <w:r>
        <w:rPr>
          <w:rFonts w:hint="eastAsia" w:ascii="宋体" w:hAnsi="宋体" w:cs="宋体"/>
          <w:spacing w:val="-3"/>
          <w:kern w:val="0"/>
          <w:sz w:val="30"/>
          <w:szCs w:val="30"/>
        </w:rPr>
        <w:t>依法组织或参与有关安全事故调查处理工作；承担交通运输公安、保卫、综合治理、维护稳定工作，承担局机关的安全保卫工作，指导全区交通运输公安管理工作。</w:t>
      </w:r>
    </w:p>
    <w:p>
      <w:pPr>
        <w:ind w:firstLine="588" w:firstLineChars="200"/>
        <w:rPr>
          <w:rFonts w:ascii="宋体" w:cs="宋体"/>
          <w:spacing w:val="-3"/>
          <w:kern w:val="0"/>
          <w:sz w:val="30"/>
          <w:szCs w:val="30"/>
        </w:rPr>
      </w:pPr>
      <w:r>
        <w:rPr>
          <w:rFonts w:hint="eastAsia" w:ascii="宋体" w:hAnsi="宋体" w:cs="宋体"/>
          <w:spacing w:val="-3"/>
          <w:kern w:val="0"/>
          <w:sz w:val="30"/>
          <w:szCs w:val="30"/>
        </w:rPr>
        <w:t>编制交通运输行业科技、技术改造、技术培训中长期发展规划和年度计划，承担涉及综合运输体系的标准协调工作；负责交通运输行业科学技术、信息化建设、技术培训管理工作，协调科技开发、信息建设、维护等相关工作；指导全区监管服务、应急指挥相关业务工作。</w:t>
      </w:r>
    </w:p>
    <w:p>
      <w:pPr>
        <w:ind w:firstLine="588" w:firstLineChars="200"/>
        <w:rPr>
          <w:rFonts w:ascii="宋体" w:cs="宋体"/>
          <w:spacing w:val="-3"/>
          <w:kern w:val="0"/>
          <w:sz w:val="30"/>
          <w:szCs w:val="30"/>
        </w:rPr>
      </w:pPr>
      <w:r>
        <w:rPr>
          <w:rFonts w:hint="eastAsia" w:ascii="宋体" w:hAnsi="宋体" w:cs="宋体"/>
          <w:spacing w:val="-3"/>
          <w:kern w:val="0"/>
          <w:sz w:val="30"/>
          <w:szCs w:val="30"/>
        </w:rPr>
        <w:t>承担区国防动员委员会交通战备办公室的日常工作，拟定战备应急预案，组织协调国家重点物资运输和紧急客货运输，负责组织、管理、指导全区交通战备工作，指导全区交通防汛、防疫、防震、消防等工作，协调全区突发公共事件交通运输保障工作。</w:t>
      </w:r>
    </w:p>
    <w:p>
      <w:pPr>
        <w:ind w:firstLine="588" w:firstLineChars="200"/>
        <w:rPr>
          <w:rFonts w:ascii="宋体" w:cs="宋体"/>
          <w:spacing w:val="-3"/>
          <w:kern w:val="0"/>
          <w:sz w:val="30"/>
          <w:szCs w:val="30"/>
        </w:rPr>
      </w:pPr>
      <w:r>
        <w:rPr>
          <w:rFonts w:hint="eastAsia" w:ascii="宋体" w:hAnsi="宋体" w:cs="宋体"/>
          <w:spacing w:val="-3"/>
          <w:kern w:val="0"/>
          <w:sz w:val="30"/>
          <w:szCs w:val="30"/>
        </w:rPr>
        <w:t>朔城区交通运输局为一级预算单位，下属单位有朔州市朔城区交通运输事业发展中心。</w:t>
      </w:r>
    </w:p>
    <w:p>
      <w:pPr>
        <w:spacing w:line="204" w:lineRule="auto"/>
        <w:ind w:firstLine="588" w:firstLineChars="200"/>
        <w:jc w:val="left"/>
        <w:rPr>
          <w:rFonts w:ascii="宋体" w:cs="宋体"/>
          <w:spacing w:val="-3"/>
          <w:kern w:val="0"/>
          <w:sz w:val="30"/>
          <w:szCs w:val="30"/>
        </w:rPr>
      </w:pPr>
      <w:r>
        <w:rPr>
          <w:rFonts w:hint="eastAsia" w:ascii="宋体" w:hAnsi="宋体" w:cs="宋体"/>
          <w:spacing w:val="-3"/>
          <w:kern w:val="0"/>
          <w:sz w:val="30"/>
          <w:szCs w:val="30"/>
        </w:rPr>
        <w:t>从预算单位构成看，朔城区交通运输局部门决算包括：本级决算。</w:t>
      </w:r>
    </w:p>
    <w:p>
      <w:pPr>
        <w:ind w:firstLine="1872" w:firstLineChars="6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w:t>
      </w:r>
      <w:r>
        <w:rPr>
          <w:rFonts w:ascii="黑体" w:hAnsi="黑体" w:eastAsia="黑体" w:cs="黑体"/>
          <w:snapToGrid w:val="0"/>
          <w:color w:val="000000"/>
          <w:spacing w:val="-4"/>
          <w:kern w:val="0"/>
          <w:sz w:val="32"/>
          <w:szCs w:val="32"/>
        </w:rPr>
        <w:t>2021</w:t>
      </w:r>
      <w:r>
        <w:rPr>
          <w:rFonts w:hint="eastAsia"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hint="eastAsia" w:ascii="黑体" w:hAnsi="黑体" w:eastAsia="黑体" w:cs="黑体"/>
          <w:snapToGrid w:val="0"/>
          <w:color w:val="000000"/>
          <w:spacing w:val="-4"/>
          <w:kern w:val="0"/>
          <w:sz w:val="32"/>
          <w:szCs w:val="32"/>
        </w:rPr>
        <w:t>第三部分</w:t>
      </w:r>
      <w:r>
        <w:rPr>
          <w:rFonts w:ascii="黑体" w:hAnsi="黑体" w:eastAsia="黑体" w:cs="黑体"/>
          <w:snapToGrid w:val="0"/>
          <w:color w:val="000000"/>
          <w:spacing w:val="-4"/>
          <w:kern w:val="0"/>
          <w:sz w:val="32"/>
          <w:szCs w:val="32"/>
        </w:rPr>
        <w:t>2021</w:t>
      </w:r>
      <w:r>
        <w:rPr>
          <w:rFonts w:hint="eastAsia"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ind w:firstLine="640" w:firstLineChars="200"/>
        <w:rPr>
          <w:rFonts w:ascii="宋体"/>
          <w:sz w:val="32"/>
          <w:szCs w:val="32"/>
        </w:rPr>
      </w:pPr>
      <w:bookmarkStart w:id="7" w:name="_Toc14383_WPSOffice_Level2"/>
      <w:r>
        <w:rPr>
          <w:rFonts w:ascii="宋体" w:hAnsi="宋体" w:cs="宋体"/>
          <w:sz w:val="32"/>
          <w:szCs w:val="32"/>
        </w:rPr>
        <w:t>2021</w:t>
      </w:r>
      <w:r>
        <w:rPr>
          <w:rFonts w:hint="eastAsia" w:ascii="宋体" w:hAnsi="宋体" w:cs="宋体"/>
          <w:sz w:val="32"/>
          <w:szCs w:val="32"/>
        </w:rPr>
        <w:t>年度收入总计</w:t>
      </w:r>
      <w:r>
        <w:rPr>
          <w:rFonts w:ascii="宋体" w:hAnsi="宋体" w:cs="宋体"/>
          <w:sz w:val="32"/>
          <w:szCs w:val="32"/>
        </w:rPr>
        <w:t>6112.85</w:t>
      </w:r>
      <w:r>
        <w:rPr>
          <w:rFonts w:hint="eastAsia" w:ascii="宋体" w:hAnsi="宋体" w:cs="宋体"/>
          <w:sz w:val="32"/>
          <w:szCs w:val="32"/>
        </w:rPr>
        <w:t>万元，支出总计</w:t>
      </w:r>
      <w:r>
        <w:rPr>
          <w:rFonts w:ascii="宋体" w:hAnsi="宋体" w:cs="宋体"/>
          <w:sz w:val="32"/>
          <w:szCs w:val="32"/>
        </w:rPr>
        <w:t>6112.85</w:t>
      </w:r>
      <w:r>
        <w:rPr>
          <w:rFonts w:hint="eastAsia" w:ascii="宋体" w:hAnsi="宋体" w:cs="宋体"/>
          <w:sz w:val="32"/>
          <w:szCs w:val="32"/>
        </w:rPr>
        <w:t>万元。与</w:t>
      </w:r>
      <w:r>
        <w:rPr>
          <w:rFonts w:ascii="宋体" w:hAnsi="宋体" w:cs="宋体"/>
          <w:sz w:val="32"/>
          <w:szCs w:val="32"/>
        </w:rPr>
        <w:t>2020</w:t>
      </w:r>
      <w:r>
        <w:rPr>
          <w:rFonts w:hint="eastAsia" w:ascii="宋体" w:hAnsi="宋体" w:cs="宋体"/>
          <w:sz w:val="32"/>
          <w:szCs w:val="32"/>
        </w:rPr>
        <w:t>年相比</w:t>
      </w:r>
      <w:r>
        <w:rPr>
          <w:rFonts w:ascii="宋体" w:cs="宋体"/>
          <w:sz w:val="32"/>
          <w:szCs w:val="32"/>
        </w:rPr>
        <w:t>,</w:t>
      </w:r>
      <w:r>
        <w:rPr>
          <w:rFonts w:hint="eastAsia" w:ascii="宋体" w:hAnsi="宋体" w:cs="宋体"/>
          <w:sz w:val="32"/>
          <w:szCs w:val="32"/>
        </w:rPr>
        <w:t>收入总计减少</w:t>
      </w:r>
      <w:r>
        <w:rPr>
          <w:rFonts w:ascii="宋体" w:hAnsi="宋体" w:cs="宋体"/>
          <w:sz w:val="32"/>
          <w:szCs w:val="32"/>
        </w:rPr>
        <w:t>913.03</w:t>
      </w:r>
      <w:r>
        <w:rPr>
          <w:rFonts w:hint="eastAsia" w:ascii="宋体" w:hAnsi="宋体" w:cs="宋体"/>
          <w:sz w:val="32"/>
          <w:szCs w:val="32"/>
        </w:rPr>
        <w:t>万元，支出总计减少</w:t>
      </w:r>
      <w:r>
        <w:rPr>
          <w:rFonts w:ascii="宋体" w:hAnsi="宋体" w:cs="宋体"/>
          <w:sz w:val="32"/>
          <w:szCs w:val="32"/>
        </w:rPr>
        <w:t>913.03</w:t>
      </w:r>
      <w:r>
        <w:rPr>
          <w:rFonts w:hint="eastAsia" w:ascii="宋体" w:hAnsi="宋体" w:cs="宋体"/>
          <w:sz w:val="32"/>
          <w:szCs w:val="32"/>
        </w:rPr>
        <w:t>万元。主要原因是：</w:t>
      </w:r>
      <w:r>
        <w:rPr>
          <w:rFonts w:hint="eastAsia" w:ascii="宋体" w:hAnsi="宋体"/>
          <w:sz w:val="32"/>
          <w:szCs w:val="32"/>
        </w:rPr>
        <w:t>长城旅游公路、</w:t>
      </w:r>
      <w:r>
        <w:rPr>
          <w:rFonts w:hint="eastAsia" w:ascii="宋体" w:hAnsi="宋体" w:cs="宋体"/>
          <w:sz w:val="32"/>
          <w:szCs w:val="32"/>
        </w:rPr>
        <w:t>四好农村路建设项目减少</w:t>
      </w:r>
      <w:r>
        <w:rPr>
          <w:rFonts w:hint="eastAsia" w:ascii="宋体"/>
          <w:sz w:val="32"/>
          <w:szCs w:val="32"/>
        </w:rPr>
        <w:t>。</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二、收入决算情况说明</w:t>
      </w:r>
      <w:bookmarkEnd w:id="7"/>
    </w:p>
    <w:p>
      <w:pPr>
        <w:spacing w:line="204" w:lineRule="auto"/>
        <w:ind w:firstLine="667"/>
        <w:rPr>
          <w:rFonts w:ascii="宋体" w:cs="宋体"/>
          <w:sz w:val="32"/>
          <w:szCs w:val="32"/>
        </w:rPr>
      </w:pPr>
      <w:bookmarkStart w:id="8" w:name="_Toc6621_WPSOffice_Level2"/>
      <w:bookmarkStart w:id="9" w:name="_Toc504_WPSOffice_Level2"/>
      <w:r>
        <w:rPr>
          <w:rFonts w:hint="eastAsia" w:ascii="宋体" w:hAnsi="宋体" w:cs="宋体"/>
          <w:sz w:val="32"/>
          <w:szCs w:val="32"/>
        </w:rPr>
        <w:t>本年收入合计</w:t>
      </w:r>
      <w:r>
        <w:rPr>
          <w:rFonts w:ascii="宋体" w:hAnsi="宋体" w:cs="宋体"/>
          <w:sz w:val="32"/>
          <w:szCs w:val="32"/>
        </w:rPr>
        <w:t>6112</w:t>
      </w:r>
      <w:r>
        <w:rPr>
          <w:rFonts w:ascii="宋体" w:cs="宋体"/>
          <w:sz w:val="32"/>
          <w:szCs w:val="32"/>
        </w:rPr>
        <w:t>.</w:t>
      </w:r>
      <w:r>
        <w:rPr>
          <w:rFonts w:ascii="宋体" w:hAnsi="宋体" w:cs="宋体"/>
          <w:sz w:val="32"/>
          <w:szCs w:val="32"/>
        </w:rPr>
        <w:t>78</w:t>
      </w:r>
      <w:r>
        <w:rPr>
          <w:rFonts w:hint="eastAsia" w:ascii="宋体" w:hAnsi="宋体" w:cs="宋体"/>
          <w:sz w:val="32"/>
          <w:szCs w:val="32"/>
        </w:rPr>
        <w:t>万元，其中：财政拨款收入</w:t>
      </w:r>
      <w:r>
        <w:rPr>
          <w:rFonts w:ascii="宋体" w:hAnsi="宋体" w:cs="宋体"/>
          <w:sz w:val="32"/>
          <w:szCs w:val="32"/>
        </w:rPr>
        <w:t>6111.41</w:t>
      </w:r>
      <w:r>
        <w:rPr>
          <w:rFonts w:hint="eastAsia" w:ascii="宋体" w:hAnsi="宋体" w:cs="宋体"/>
          <w:sz w:val="32"/>
          <w:szCs w:val="32"/>
        </w:rPr>
        <w:t>万元；上级补助收入</w:t>
      </w:r>
      <w:r>
        <w:rPr>
          <w:rFonts w:ascii="宋体" w:cs="宋体"/>
          <w:sz w:val="32"/>
          <w:szCs w:val="32"/>
        </w:rPr>
        <w:t>0</w:t>
      </w:r>
      <w:r>
        <w:rPr>
          <w:rFonts w:hint="eastAsia" w:ascii="宋体" w:hAnsi="宋体" w:cs="宋体"/>
          <w:sz w:val="32"/>
          <w:szCs w:val="32"/>
        </w:rPr>
        <w:t>万元；事业收入</w:t>
      </w:r>
      <w:r>
        <w:rPr>
          <w:rFonts w:ascii="宋体" w:hAnsi="宋体" w:cs="宋体"/>
          <w:sz w:val="32"/>
          <w:szCs w:val="32"/>
        </w:rPr>
        <w:t xml:space="preserve"> 0</w:t>
      </w:r>
      <w:r>
        <w:rPr>
          <w:rFonts w:hint="eastAsia" w:ascii="宋体" w:hAnsi="宋体" w:cs="宋体"/>
          <w:sz w:val="32"/>
          <w:szCs w:val="32"/>
        </w:rPr>
        <w:t>万元；经营收入</w:t>
      </w:r>
      <w:r>
        <w:rPr>
          <w:rFonts w:ascii="宋体" w:cs="宋体"/>
          <w:sz w:val="32"/>
          <w:szCs w:val="32"/>
        </w:rPr>
        <w:t>0</w:t>
      </w:r>
      <w:r>
        <w:rPr>
          <w:rFonts w:hint="eastAsia" w:ascii="宋体" w:hAnsi="宋体" w:cs="宋体"/>
          <w:sz w:val="32"/>
          <w:szCs w:val="32"/>
        </w:rPr>
        <w:t>万元；附属单位上缴收入</w:t>
      </w:r>
      <w:r>
        <w:rPr>
          <w:rFonts w:ascii="宋体" w:hAnsi="宋体" w:cs="宋体"/>
          <w:sz w:val="32"/>
          <w:szCs w:val="32"/>
        </w:rPr>
        <w:t xml:space="preserve"> 0</w:t>
      </w:r>
      <w:r>
        <w:rPr>
          <w:rFonts w:hint="eastAsia" w:ascii="宋体" w:hAnsi="宋体" w:cs="宋体"/>
          <w:sz w:val="32"/>
          <w:szCs w:val="32"/>
        </w:rPr>
        <w:t>万元；其他收入</w:t>
      </w:r>
      <w:r>
        <w:rPr>
          <w:rFonts w:ascii="宋体" w:hAnsi="宋体" w:cs="宋体"/>
          <w:sz w:val="32"/>
          <w:szCs w:val="32"/>
        </w:rPr>
        <w:t>1.36</w:t>
      </w:r>
      <w:r>
        <w:rPr>
          <w:rFonts w:hint="eastAsia" w:ascii="宋体" w:hAnsi="宋体" w:cs="宋体"/>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宋体" w:hAnsi="宋体" w:eastAsia="仿宋_GB2312"/>
          <w:sz w:val="32"/>
          <w:szCs w:val="32"/>
        </w:rPr>
      </w:pPr>
      <w:bookmarkStart w:id="10" w:name="_Toc32119_WPSOffice_Level2"/>
      <w:bookmarkStart w:id="11" w:name="_Toc8754_WPSOffice_Level2"/>
      <w:r>
        <w:rPr>
          <w:rFonts w:hint="eastAsia" w:ascii="宋体" w:hAnsi="宋体" w:cs="宋体"/>
          <w:sz w:val="32"/>
          <w:szCs w:val="32"/>
        </w:rPr>
        <w:t>本年支出合计</w:t>
      </w:r>
      <w:r>
        <w:rPr>
          <w:rFonts w:ascii="宋体" w:hAnsi="宋体" w:cs="宋体"/>
          <w:sz w:val="32"/>
          <w:szCs w:val="32"/>
        </w:rPr>
        <w:t>6112.65</w:t>
      </w:r>
      <w:r>
        <w:rPr>
          <w:rFonts w:hint="eastAsia" w:ascii="宋体" w:hAnsi="宋体" w:cs="宋体"/>
          <w:sz w:val="32"/>
          <w:szCs w:val="32"/>
        </w:rPr>
        <w:t>万元，其中基本支出</w:t>
      </w:r>
      <w:r>
        <w:rPr>
          <w:rFonts w:ascii="宋体" w:hAnsi="宋体" w:cs="宋体"/>
          <w:sz w:val="32"/>
          <w:szCs w:val="32"/>
        </w:rPr>
        <w:t>259.18</w:t>
      </w:r>
      <w:r>
        <w:rPr>
          <w:rFonts w:hint="eastAsia" w:ascii="宋体" w:hAnsi="宋体" w:cs="宋体"/>
          <w:sz w:val="32"/>
          <w:szCs w:val="32"/>
        </w:rPr>
        <w:t>万元</w:t>
      </w:r>
      <w:r>
        <w:rPr>
          <w:rFonts w:ascii="宋体" w:cs="宋体"/>
          <w:sz w:val="32"/>
          <w:szCs w:val="32"/>
        </w:rPr>
        <w:t>,</w:t>
      </w:r>
      <w:r>
        <w:rPr>
          <w:rFonts w:ascii="宋体" w:hAnsi="宋体" w:cs="宋体"/>
          <w:sz w:val="32"/>
          <w:szCs w:val="32"/>
        </w:rPr>
        <w:t xml:space="preserve"> </w:t>
      </w:r>
      <w:r>
        <w:rPr>
          <w:rFonts w:hint="eastAsia" w:ascii="宋体" w:hAnsi="宋体" w:cs="宋体"/>
          <w:sz w:val="32"/>
          <w:szCs w:val="32"/>
        </w:rPr>
        <w:t>项目支出</w:t>
      </w:r>
      <w:r>
        <w:rPr>
          <w:rFonts w:ascii="宋体" w:hAnsi="宋体" w:cs="宋体"/>
          <w:sz w:val="32"/>
          <w:szCs w:val="32"/>
        </w:rPr>
        <w:t>5853.46</w:t>
      </w:r>
      <w:r>
        <w:rPr>
          <w:rFonts w:hint="eastAsia" w:ascii="宋体" w:hAnsi="宋体" w:cs="宋体"/>
          <w:sz w:val="32"/>
          <w:szCs w:val="32"/>
        </w:rPr>
        <w:t>万元；上缴上级支出</w:t>
      </w:r>
      <w:r>
        <w:rPr>
          <w:rFonts w:ascii="宋体" w:cs="宋体"/>
          <w:sz w:val="32"/>
          <w:szCs w:val="32"/>
        </w:rPr>
        <w:t>0</w:t>
      </w:r>
      <w:r>
        <w:rPr>
          <w:rFonts w:hint="eastAsia" w:ascii="宋体" w:hAnsi="宋体" w:cs="宋体"/>
          <w:sz w:val="32"/>
          <w:szCs w:val="32"/>
        </w:rPr>
        <w:t>万元，经营支</w:t>
      </w:r>
      <w:r>
        <w:rPr>
          <w:rFonts w:hint="eastAsia" w:ascii="宋体" w:hAnsi="宋体" w:eastAsia="仿宋_GB2312"/>
          <w:sz w:val="32"/>
          <w:szCs w:val="32"/>
        </w:rPr>
        <w:t>出</w:t>
      </w:r>
      <w:r>
        <w:rPr>
          <w:rFonts w:ascii="宋体" w:hAnsi="宋体" w:eastAsia="仿宋_GB2312"/>
          <w:sz w:val="32"/>
          <w:szCs w:val="32"/>
        </w:rPr>
        <w:t>0</w:t>
      </w:r>
      <w:r>
        <w:rPr>
          <w:rFonts w:hint="eastAsia" w:ascii="宋体" w:hAnsi="宋体" w:eastAsia="仿宋_GB2312"/>
          <w:sz w:val="32"/>
          <w:szCs w:val="32"/>
        </w:rPr>
        <w:t>万元；对附属单位补助支出</w:t>
      </w:r>
      <w:r>
        <w:rPr>
          <w:rFonts w:ascii="宋体" w:hAnsi="宋体" w:eastAsia="仿宋_GB2312"/>
          <w:sz w:val="32"/>
          <w:szCs w:val="32"/>
        </w:rPr>
        <w:t>0</w:t>
      </w:r>
      <w:r>
        <w:rPr>
          <w:rFonts w:hint="eastAsia" w:ascii="宋体" w:hAnsi="宋体" w:eastAsia="仿宋_GB2312"/>
          <w:sz w:val="32"/>
          <w:szCs w:val="32"/>
        </w:rPr>
        <w:t>万元。</w:t>
      </w:r>
    </w:p>
    <w:p>
      <w:pPr>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ind w:firstLine="640" w:firstLineChars="200"/>
        <w:rPr>
          <w:rFonts w:ascii="宋体" w:cs="宋体"/>
          <w:sz w:val="32"/>
          <w:szCs w:val="32"/>
        </w:rPr>
      </w:pPr>
      <w:bookmarkStart w:id="12" w:name="_Toc2892_WPSOffice_Level2"/>
      <w:bookmarkStart w:id="13" w:name="_Toc23250_WPSOffice_Level2"/>
      <w:r>
        <w:rPr>
          <w:rFonts w:ascii="宋体" w:hAnsi="宋体" w:cs="宋体"/>
          <w:sz w:val="32"/>
          <w:szCs w:val="32"/>
        </w:rPr>
        <w:t>2021</w:t>
      </w:r>
      <w:r>
        <w:rPr>
          <w:rFonts w:hint="eastAsia" w:ascii="宋体" w:hAnsi="宋体" w:cs="宋体"/>
          <w:sz w:val="32"/>
          <w:szCs w:val="32"/>
        </w:rPr>
        <w:t>年财政拨款收入总计</w:t>
      </w:r>
      <w:r>
        <w:rPr>
          <w:rFonts w:ascii="宋体" w:hAnsi="宋体" w:cs="宋体"/>
          <w:sz w:val="32"/>
          <w:szCs w:val="32"/>
        </w:rPr>
        <w:t>6111.41</w:t>
      </w:r>
      <w:r>
        <w:rPr>
          <w:rFonts w:hint="eastAsia" w:ascii="宋体" w:hAnsi="宋体" w:cs="宋体"/>
          <w:sz w:val="32"/>
          <w:szCs w:val="32"/>
        </w:rPr>
        <w:t>万元、支出总计</w:t>
      </w:r>
      <w:r>
        <w:rPr>
          <w:rFonts w:ascii="宋体" w:hAnsi="宋体" w:cs="宋体"/>
          <w:sz w:val="32"/>
          <w:szCs w:val="32"/>
        </w:rPr>
        <w:t>6111.41</w:t>
      </w:r>
      <w:r>
        <w:rPr>
          <w:rFonts w:hint="eastAsia" w:ascii="宋体" w:hAnsi="宋体" w:cs="宋体"/>
          <w:sz w:val="32"/>
          <w:szCs w:val="32"/>
        </w:rPr>
        <w:t>万元。于</w:t>
      </w:r>
      <w:r>
        <w:rPr>
          <w:rFonts w:ascii="宋体" w:hAnsi="宋体" w:cs="宋体"/>
          <w:sz w:val="32"/>
          <w:szCs w:val="32"/>
        </w:rPr>
        <w:t>2020</w:t>
      </w:r>
      <w:r>
        <w:rPr>
          <w:rFonts w:hint="eastAsia" w:ascii="宋体" w:hAnsi="宋体" w:cs="宋体"/>
          <w:sz w:val="32"/>
          <w:szCs w:val="32"/>
        </w:rPr>
        <w:t>年相比，财政拨款收入总计减少</w:t>
      </w:r>
      <w:r>
        <w:rPr>
          <w:rFonts w:ascii="宋体" w:hAnsi="宋体" w:cs="宋体"/>
          <w:sz w:val="32"/>
          <w:szCs w:val="32"/>
        </w:rPr>
        <w:t>914</w:t>
      </w:r>
      <w:r>
        <w:rPr>
          <w:rFonts w:ascii="宋体" w:cs="宋体"/>
          <w:sz w:val="32"/>
          <w:szCs w:val="32"/>
        </w:rPr>
        <w:t>.</w:t>
      </w:r>
      <w:r>
        <w:rPr>
          <w:rFonts w:ascii="宋体" w:hAnsi="宋体" w:cs="宋体"/>
          <w:sz w:val="32"/>
          <w:szCs w:val="32"/>
        </w:rPr>
        <w:t>47</w:t>
      </w:r>
      <w:r>
        <w:rPr>
          <w:rFonts w:hint="eastAsia" w:ascii="宋体" w:hAnsi="宋体" w:cs="宋体"/>
          <w:sz w:val="32"/>
          <w:szCs w:val="32"/>
        </w:rPr>
        <w:t>万元，降低</w:t>
      </w:r>
      <w:r>
        <w:rPr>
          <w:rFonts w:ascii="宋体" w:hAnsi="宋体" w:cs="宋体"/>
          <w:sz w:val="32"/>
          <w:szCs w:val="32"/>
        </w:rPr>
        <w:t>13%</w:t>
      </w:r>
      <w:r>
        <w:rPr>
          <w:rFonts w:hint="eastAsia" w:ascii="宋体" w:hAnsi="宋体" w:cs="宋体"/>
          <w:sz w:val="32"/>
          <w:szCs w:val="32"/>
        </w:rPr>
        <w:t>。主要原因是：长城旅游公路、四好农村路建设项目减少。</w:t>
      </w:r>
    </w:p>
    <w:p>
      <w:pPr>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ind w:firstLine="640"/>
        <w:rPr>
          <w:rFonts w:ascii="宋体"/>
          <w:sz w:val="32"/>
          <w:szCs w:val="32"/>
        </w:rPr>
      </w:pPr>
      <w:bookmarkStart w:id="14" w:name="_Toc1066_WPSOffice_Level2"/>
      <w:bookmarkStart w:id="15" w:name="_Toc27424_WPSOffice_Level2"/>
      <w:r>
        <w:rPr>
          <w:rFonts w:ascii="宋体"/>
          <w:sz w:val="32"/>
          <w:szCs w:val="32"/>
        </w:rPr>
        <w:t>1.</w:t>
      </w:r>
      <w:r>
        <w:rPr>
          <w:rFonts w:hint="eastAsia" w:ascii="宋体"/>
          <w:sz w:val="32"/>
          <w:szCs w:val="32"/>
        </w:rPr>
        <w:t>财政拨款支出决算总体情况</w:t>
      </w:r>
    </w:p>
    <w:p>
      <w:pPr>
        <w:ind w:firstLine="640" w:firstLineChars="200"/>
        <w:rPr>
          <w:rFonts w:ascii="宋体" w:hAnsi="宋体" w:eastAsia="仿宋_GB2312"/>
          <w:sz w:val="32"/>
          <w:szCs w:val="32"/>
        </w:rPr>
      </w:pPr>
      <w:r>
        <w:rPr>
          <w:rFonts w:ascii="宋体"/>
          <w:sz w:val="32"/>
          <w:szCs w:val="32"/>
        </w:rPr>
        <w:t>2021</w:t>
      </w:r>
      <w:r>
        <w:rPr>
          <w:rFonts w:hint="eastAsia" w:ascii="宋体"/>
          <w:sz w:val="32"/>
          <w:szCs w:val="32"/>
        </w:rPr>
        <w:t>年度财政拨款支出</w:t>
      </w:r>
      <w:r>
        <w:rPr>
          <w:rFonts w:ascii="宋体"/>
          <w:sz w:val="32"/>
          <w:szCs w:val="32"/>
        </w:rPr>
        <w:t>6111.41</w:t>
      </w:r>
      <w:r>
        <w:rPr>
          <w:rFonts w:hint="eastAsia" w:ascii="宋体"/>
          <w:sz w:val="32"/>
          <w:szCs w:val="32"/>
        </w:rPr>
        <w:t>万元，于</w:t>
      </w:r>
      <w:r>
        <w:rPr>
          <w:rFonts w:ascii="宋体"/>
          <w:sz w:val="32"/>
          <w:szCs w:val="32"/>
        </w:rPr>
        <w:t>2020</w:t>
      </w:r>
      <w:r>
        <w:rPr>
          <w:rFonts w:hint="eastAsia" w:ascii="宋体"/>
          <w:sz w:val="32"/>
          <w:szCs w:val="32"/>
        </w:rPr>
        <w:t>年相比，财政拨款增加</w:t>
      </w:r>
      <w:r>
        <w:rPr>
          <w:rFonts w:ascii="宋体"/>
          <w:sz w:val="32"/>
          <w:szCs w:val="32"/>
        </w:rPr>
        <w:t>2800.71</w:t>
      </w:r>
      <w:r>
        <w:rPr>
          <w:rFonts w:hint="eastAsia" w:ascii="宋体"/>
          <w:sz w:val="32"/>
          <w:szCs w:val="32"/>
        </w:rPr>
        <w:t>万元。主要原因是：</w:t>
      </w:r>
      <w:r>
        <w:rPr>
          <w:rFonts w:ascii="宋体"/>
          <w:sz w:val="32"/>
          <w:szCs w:val="32"/>
        </w:rPr>
        <w:t>2020</w:t>
      </w:r>
      <w:r>
        <w:rPr>
          <w:rFonts w:hint="eastAsia" w:ascii="宋体"/>
          <w:sz w:val="32"/>
          <w:szCs w:val="32"/>
        </w:rPr>
        <w:t>年长城旅游</w:t>
      </w:r>
      <w:r>
        <w:rPr>
          <w:rFonts w:hint="eastAsia" w:ascii="宋体" w:hAnsi="宋体" w:cs="宋体"/>
          <w:sz w:val="32"/>
          <w:szCs w:val="32"/>
        </w:rPr>
        <w:t>公路项目部分资金来源于政府性基金，今年公路项目全部是一般公共预算资金及机构改革，增加了化庄治超站和公路养护中心的经费支出。</w:t>
      </w:r>
    </w:p>
    <w:p>
      <w:pPr>
        <w:ind w:firstLine="640" w:firstLineChars="200"/>
        <w:rPr>
          <w:rFonts w:ascii="宋体" w:cs="宋体"/>
          <w:sz w:val="32"/>
          <w:szCs w:val="32"/>
        </w:rPr>
      </w:pPr>
      <w:r>
        <w:rPr>
          <w:rFonts w:ascii="宋体" w:hAnsi="宋体" w:cs="宋体"/>
          <w:sz w:val="32"/>
          <w:szCs w:val="32"/>
        </w:rPr>
        <w:t>2.</w:t>
      </w:r>
      <w:r>
        <w:rPr>
          <w:rFonts w:hint="eastAsia" w:ascii="宋体" w:hAnsi="宋体" w:cs="宋体"/>
          <w:sz w:val="32"/>
          <w:szCs w:val="32"/>
        </w:rPr>
        <w:t>财政拨款支出决算结构情况</w:t>
      </w:r>
    </w:p>
    <w:p>
      <w:pPr>
        <w:ind w:firstLine="640" w:firstLineChars="200"/>
        <w:rPr>
          <w:rFonts w:ascii="宋体"/>
          <w:sz w:val="32"/>
          <w:szCs w:val="32"/>
        </w:rPr>
      </w:pPr>
      <w:r>
        <w:rPr>
          <w:rFonts w:ascii="宋体"/>
          <w:sz w:val="32"/>
          <w:szCs w:val="32"/>
        </w:rPr>
        <w:t>2021</w:t>
      </w:r>
      <w:r>
        <w:rPr>
          <w:rFonts w:hint="eastAsia" w:ascii="宋体"/>
          <w:sz w:val="32"/>
          <w:szCs w:val="32"/>
        </w:rPr>
        <w:t>年度财政拨款支出</w:t>
      </w:r>
      <w:r>
        <w:rPr>
          <w:rFonts w:ascii="宋体"/>
          <w:sz w:val="32"/>
          <w:szCs w:val="32"/>
        </w:rPr>
        <w:t>6111.41</w:t>
      </w:r>
      <w:r>
        <w:rPr>
          <w:rFonts w:hint="eastAsia" w:ascii="宋体"/>
          <w:sz w:val="32"/>
          <w:szCs w:val="32"/>
        </w:rPr>
        <w:t>万元，主要用于其他科学技术支出</w:t>
      </w:r>
      <w:r>
        <w:rPr>
          <w:rFonts w:ascii="宋体"/>
          <w:sz w:val="32"/>
          <w:szCs w:val="32"/>
        </w:rPr>
        <w:t>0.20</w:t>
      </w:r>
      <w:r>
        <w:rPr>
          <w:rFonts w:hint="eastAsia" w:ascii="宋体"/>
          <w:sz w:val="32"/>
          <w:szCs w:val="32"/>
        </w:rPr>
        <w:t>万元</w:t>
      </w:r>
      <w:r>
        <w:rPr>
          <w:rFonts w:ascii="宋体"/>
          <w:sz w:val="32"/>
          <w:szCs w:val="32"/>
        </w:rPr>
        <w:t>,</w:t>
      </w:r>
      <w:r>
        <w:rPr>
          <w:rFonts w:hint="eastAsia" w:ascii="宋体"/>
          <w:sz w:val="32"/>
          <w:szCs w:val="32"/>
        </w:rPr>
        <w:t>社会保障和就业支出（死亡抚恤）</w:t>
      </w:r>
      <w:r>
        <w:rPr>
          <w:rFonts w:ascii="宋体"/>
          <w:sz w:val="32"/>
          <w:szCs w:val="32"/>
        </w:rPr>
        <w:t>17.27</w:t>
      </w:r>
      <w:r>
        <w:rPr>
          <w:rFonts w:hint="eastAsia" w:ascii="宋体"/>
          <w:sz w:val="32"/>
          <w:szCs w:val="32"/>
        </w:rPr>
        <w:t>万元，占</w:t>
      </w:r>
      <w:r>
        <w:rPr>
          <w:rFonts w:ascii="宋体"/>
          <w:sz w:val="32"/>
          <w:szCs w:val="32"/>
        </w:rPr>
        <w:t>0.28%</w:t>
      </w:r>
      <w:r>
        <w:rPr>
          <w:rFonts w:hint="eastAsia" w:ascii="宋体"/>
          <w:sz w:val="32"/>
          <w:szCs w:val="32"/>
        </w:rPr>
        <w:t>；卫生健康支出（突发公共卫生事件应急处理）</w:t>
      </w:r>
      <w:r>
        <w:rPr>
          <w:rFonts w:ascii="宋体"/>
          <w:sz w:val="32"/>
          <w:szCs w:val="32"/>
        </w:rPr>
        <w:t>19.99</w:t>
      </w:r>
      <w:r>
        <w:rPr>
          <w:rFonts w:hint="eastAsia" w:ascii="宋体"/>
          <w:sz w:val="32"/>
          <w:szCs w:val="32"/>
        </w:rPr>
        <w:t>万元</w:t>
      </w:r>
      <w:r>
        <w:rPr>
          <w:rFonts w:ascii="宋体"/>
          <w:sz w:val="32"/>
          <w:szCs w:val="32"/>
        </w:rPr>
        <w:t>,</w:t>
      </w:r>
      <w:r>
        <w:rPr>
          <w:rFonts w:hint="eastAsia" w:ascii="宋体"/>
          <w:sz w:val="32"/>
          <w:szCs w:val="32"/>
        </w:rPr>
        <w:t>占</w:t>
      </w:r>
      <w:r>
        <w:rPr>
          <w:rFonts w:ascii="宋体"/>
          <w:sz w:val="32"/>
          <w:szCs w:val="32"/>
        </w:rPr>
        <w:t>0.33%</w:t>
      </w:r>
      <w:r>
        <w:rPr>
          <w:rFonts w:hint="eastAsia" w:ascii="宋体"/>
          <w:sz w:val="32"/>
          <w:szCs w:val="32"/>
        </w:rPr>
        <w:t>；</w:t>
      </w:r>
      <w:r>
        <w:t xml:space="preserve"> </w:t>
      </w:r>
      <w:r>
        <w:rPr>
          <w:rFonts w:hint="eastAsia" w:ascii="宋体"/>
          <w:sz w:val="32"/>
          <w:szCs w:val="32"/>
        </w:rPr>
        <w:t>公路水路运输（行政运行）</w:t>
      </w:r>
      <w:r>
        <w:rPr>
          <w:rFonts w:ascii="宋体"/>
          <w:sz w:val="32"/>
          <w:szCs w:val="32"/>
        </w:rPr>
        <w:t>237.18</w:t>
      </w:r>
      <w:r>
        <w:rPr>
          <w:rFonts w:hint="eastAsia" w:ascii="宋体"/>
          <w:sz w:val="32"/>
          <w:szCs w:val="32"/>
        </w:rPr>
        <w:t>万元，占</w:t>
      </w:r>
      <w:r>
        <w:rPr>
          <w:rFonts w:ascii="宋体"/>
          <w:sz w:val="32"/>
          <w:szCs w:val="32"/>
        </w:rPr>
        <w:t>3.88%</w:t>
      </w:r>
      <w:r>
        <w:rPr>
          <w:rFonts w:hint="eastAsia" w:ascii="宋体"/>
          <w:sz w:val="32"/>
          <w:szCs w:val="32"/>
        </w:rPr>
        <w:t>；一般行政管理事务支出</w:t>
      </w:r>
      <w:r>
        <w:rPr>
          <w:rFonts w:ascii="宋体"/>
          <w:sz w:val="32"/>
          <w:szCs w:val="32"/>
        </w:rPr>
        <w:t>49.96</w:t>
      </w:r>
      <w:r>
        <w:rPr>
          <w:rFonts w:hint="eastAsia" w:ascii="宋体"/>
          <w:sz w:val="32"/>
          <w:szCs w:val="32"/>
        </w:rPr>
        <w:t>万元，占</w:t>
      </w:r>
      <w:r>
        <w:rPr>
          <w:rFonts w:ascii="宋体"/>
          <w:sz w:val="32"/>
          <w:szCs w:val="32"/>
        </w:rPr>
        <w:t>0.82%</w:t>
      </w:r>
      <w:r>
        <w:rPr>
          <w:rFonts w:hint="eastAsia" w:ascii="宋体"/>
          <w:sz w:val="32"/>
          <w:szCs w:val="32"/>
        </w:rPr>
        <w:t>；机关服务</w:t>
      </w:r>
      <w:r>
        <w:rPr>
          <w:rFonts w:ascii="宋体"/>
          <w:sz w:val="32"/>
          <w:szCs w:val="32"/>
        </w:rPr>
        <w:t>155.47</w:t>
      </w:r>
      <w:r>
        <w:rPr>
          <w:rFonts w:hint="eastAsia" w:ascii="宋体"/>
          <w:sz w:val="32"/>
          <w:szCs w:val="32"/>
        </w:rPr>
        <w:t>万元，占</w:t>
      </w:r>
      <w:r>
        <w:rPr>
          <w:rFonts w:ascii="宋体"/>
          <w:sz w:val="32"/>
          <w:szCs w:val="32"/>
        </w:rPr>
        <w:t>2.54%</w:t>
      </w:r>
      <w:r>
        <w:rPr>
          <w:rFonts w:hint="eastAsia" w:ascii="宋体"/>
          <w:sz w:val="32"/>
          <w:szCs w:val="32"/>
        </w:rPr>
        <w:t>；公路建设</w:t>
      </w:r>
      <w:r>
        <w:rPr>
          <w:rFonts w:ascii="宋体"/>
          <w:sz w:val="32"/>
          <w:szCs w:val="32"/>
        </w:rPr>
        <w:t>2636.31</w:t>
      </w:r>
      <w:r>
        <w:rPr>
          <w:rFonts w:hint="eastAsia" w:ascii="宋体"/>
          <w:sz w:val="32"/>
          <w:szCs w:val="32"/>
        </w:rPr>
        <w:t>万元，占</w:t>
      </w:r>
      <w:r>
        <w:rPr>
          <w:rFonts w:ascii="宋体"/>
          <w:sz w:val="32"/>
          <w:szCs w:val="32"/>
        </w:rPr>
        <w:t>43.14%</w:t>
      </w:r>
      <w:r>
        <w:rPr>
          <w:rFonts w:hint="eastAsia" w:ascii="宋体"/>
          <w:sz w:val="32"/>
          <w:szCs w:val="32"/>
        </w:rPr>
        <w:t>；公路养护</w:t>
      </w:r>
      <w:r>
        <w:rPr>
          <w:rFonts w:ascii="宋体"/>
          <w:sz w:val="32"/>
          <w:szCs w:val="32"/>
        </w:rPr>
        <w:t>482</w:t>
      </w:r>
      <w:r>
        <w:rPr>
          <w:rFonts w:hint="eastAsia" w:ascii="宋体"/>
          <w:sz w:val="32"/>
          <w:szCs w:val="32"/>
        </w:rPr>
        <w:t>万元，占</w:t>
      </w:r>
      <w:r>
        <w:rPr>
          <w:rFonts w:ascii="宋体"/>
          <w:sz w:val="32"/>
          <w:szCs w:val="32"/>
        </w:rPr>
        <w:t>7.89%</w:t>
      </w:r>
      <w:r>
        <w:rPr>
          <w:rFonts w:hint="eastAsia" w:ascii="宋体"/>
          <w:sz w:val="32"/>
          <w:szCs w:val="32"/>
        </w:rPr>
        <w:t>；其他公路水路运输支出</w:t>
      </w:r>
      <w:r>
        <w:rPr>
          <w:rFonts w:ascii="宋体"/>
          <w:sz w:val="32"/>
          <w:szCs w:val="32"/>
        </w:rPr>
        <w:t>2164.52</w:t>
      </w:r>
      <w:r>
        <w:rPr>
          <w:rFonts w:hint="eastAsia" w:ascii="宋体"/>
          <w:sz w:val="32"/>
          <w:szCs w:val="32"/>
        </w:rPr>
        <w:t>万元，占</w:t>
      </w:r>
      <w:r>
        <w:rPr>
          <w:rFonts w:ascii="宋体"/>
          <w:sz w:val="32"/>
          <w:szCs w:val="32"/>
        </w:rPr>
        <w:t>35.42%</w:t>
      </w:r>
      <w:r>
        <w:rPr>
          <w:rFonts w:hint="eastAsia" w:ascii="宋体"/>
          <w:sz w:val="32"/>
          <w:szCs w:val="32"/>
        </w:rPr>
        <w:t>；车辆购置税其他支出</w:t>
      </w:r>
      <w:r>
        <w:rPr>
          <w:rFonts w:ascii="宋体"/>
          <w:sz w:val="32"/>
          <w:szCs w:val="32"/>
        </w:rPr>
        <w:t>348.50</w:t>
      </w:r>
      <w:r>
        <w:rPr>
          <w:rFonts w:hint="eastAsia" w:ascii="宋体"/>
          <w:sz w:val="32"/>
          <w:szCs w:val="32"/>
        </w:rPr>
        <w:t>万元，占</w:t>
      </w:r>
      <w:r>
        <w:rPr>
          <w:rFonts w:ascii="宋体"/>
          <w:sz w:val="32"/>
          <w:szCs w:val="32"/>
        </w:rPr>
        <w:t>5.7%</w:t>
      </w:r>
      <w:r>
        <w:rPr>
          <w:rFonts w:hint="eastAsia" w:ascii="宋体"/>
          <w:sz w:val="32"/>
          <w:szCs w:val="32"/>
        </w:rPr>
        <w:t>。</w:t>
      </w:r>
    </w:p>
    <w:p>
      <w:pPr>
        <w:ind w:firstLine="640" w:firstLineChars="200"/>
        <w:rPr>
          <w:rFonts w:ascii="宋体"/>
          <w:sz w:val="32"/>
          <w:szCs w:val="32"/>
        </w:rPr>
      </w:pPr>
      <w:r>
        <w:rPr>
          <w:rFonts w:ascii="宋体"/>
          <w:sz w:val="32"/>
          <w:szCs w:val="32"/>
        </w:rPr>
        <w:t>3.</w:t>
      </w:r>
      <w:r>
        <w:rPr>
          <w:rFonts w:hint="eastAsia" w:ascii="宋体"/>
          <w:sz w:val="32"/>
          <w:szCs w:val="32"/>
        </w:rPr>
        <w:t>一般公共预算财政拨款支出决算具体情况。</w:t>
      </w:r>
    </w:p>
    <w:p>
      <w:pPr>
        <w:ind w:firstLine="640" w:firstLineChars="200"/>
        <w:rPr>
          <w:rFonts w:ascii="宋体"/>
          <w:sz w:val="32"/>
          <w:szCs w:val="32"/>
        </w:rPr>
      </w:pPr>
      <w:r>
        <w:rPr>
          <w:rFonts w:ascii="宋体"/>
          <w:sz w:val="32"/>
          <w:szCs w:val="32"/>
        </w:rPr>
        <w:t>2021</w:t>
      </w:r>
      <w:r>
        <w:rPr>
          <w:rFonts w:hint="eastAsia" w:ascii="宋体"/>
          <w:sz w:val="32"/>
          <w:szCs w:val="32"/>
        </w:rPr>
        <w:t>年度一般公共预算财政拨款支出当年调整预算数</w:t>
      </w:r>
      <w:r>
        <w:rPr>
          <w:rFonts w:ascii="宋体"/>
          <w:sz w:val="32"/>
          <w:szCs w:val="32"/>
        </w:rPr>
        <w:t>6111.41</w:t>
      </w:r>
      <w:r>
        <w:rPr>
          <w:rFonts w:hint="eastAsia" w:ascii="宋体"/>
          <w:sz w:val="32"/>
          <w:szCs w:val="32"/>
        </w:rPr>
        <w:t>元，支出决算数</w:t>
      </w:r>
      <w:r>
        <w:rPr>
          <w:rFonts w:ascii="宋体"/>
          <w:sz w:val="32"/>
          <w:szCs w:val="32"/>
        </w:rPr>
        <w:t>6111.41</w:t>
      </w:r>
      <w:r>
        <w:rPr>
          <w:rFonts w:hint="eastAsia" w:ascii="宋体"/>
          <w:sz w:val="32"/>
          <w:szCs w:val="32"/>
        </w:rPr>
        <w:t>元，完成当年调整预算的</w:t>
      </w:r>
      <w:r>
        <w:rPr>
          <w:rFonts w:ascii="宋体"/>
          <w:sz w:val="32"/>
          <w:szCs w:val="32"/>
        </w:rPr>
        <w:t>100%</w:t>
      </w:r>
      <w:r>
        <w:rPr>
          <w:rFonts w:hint="eastAsia" w:ascii="宋体"/>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rPr>
          <w:rFonts w:ascii="宋体"/>
          <w:sz w:val="32"/>
          <w:szCs w:val="32"/>
        </w:rPr>
      </w:pPr>
      <w:bookmarkStart w:id="16" w:name="_Toc21993_WPSOffice_Level2"/>
      <w:bookmarkStart w:id="17" w:name="_Toc28951_WPSOffice_Level2"/>
      <w:r>
        <w:rPr>
          <w:rFonts w:ascii="宋体"/>
          <w:sz w:val="32"/>
          <w:szCs w:val="32"/>
        </w:rPr>
        <w:t>2021</w:t>
      </w:r>
      <w:r>
        <w:rPr>
          <w:rFonts w:hint="eastAsia" w:ascii="宋体"/>
          <w:sz w:val="32"/>
          <w:szCs w:val="32"/>
        </w:rPr>
        <w:t>年度财政拨款基本支出</w:t>
      </w:r>
      <w:r>
        <w:rPr>
          <w:rFonts w:ascii="宋体"/>
          <w:sz w:val="32"/>
          <w:szCs w:val="32"/>
        </w:rPr>
        <w:t>257.96</w:t>
      </w:r>
      <w:r>
        <w:rPr>
          <w:rFonts w:hint="eastAsia" w:ascii="宋体"/>
          <w:sz w:val="32"/>
          <w:szCs w:val="32"/>
        </w:rPr>
        <w:t>万元，其中：人员经费</w:t>
      </w:r>
      <w:r>
        <w:rPr>
          <w:rFonts w:ascii="宋体"/>
          <w:sz w:val="32"/>
          <w:szCs w:val="32"/>
        </w:rPr>
        <w:t>244.49</w:t>
      </w:r>
      <w:r>
        <w:rPr>
          <w:rFonts w:hint="eastAsia" w:ascii="宋体"/>
          <w:sz w:val="32"/>
          <w:szCs w:val="32"/>
        </w:rPr>
        <w:t>万元，主要包括工资福利支出</w:t>
      </w:r>
      <w:r>
        <w:rPr>
          <w:rFonts w:ascii="宋体"/>
          <w:sz w:val="32"/>
          <w:szCs w:val="32"/>
        </w:rPr>
        <w:t>202</w:t>
      </w:r>
      <w:r>
        <w:rPr>
          <w:rFonts w:hint="eastAsia" w:ascii="宋体"/>
          <w:sz w:val="32"/>
          <w:szCs w:val="32"/>
        </w:rPr>
        <w:t>万元和对个人和家庭的补助</w:t>
      </w:r>
      <w:r>
        <w:rPr>
          <w:rFonts w:ascii="宋体"/>
          <w:sz w:val="32"/>
          <w:szCs w:val="32"/>
        </w:rPr>
        <w:t>42.49</w:t>
      </w:r>
      <w:r>
        <w:rPr>
          <w:rFonts w:hint="eastAsia" w:ascii="宋体"/>
          <w:sz w:val="32"/>
          <w:szCs w:val="32"/>
        </w:rPr>
        <w:t>万元；公用经费</w:t>
      </w:r>
      <w:r>
        <w:rPr>
          <w:rFonts w:ascii="宋体"/>
          <w:sz w:val="32"/>
          <w:szCs w:val="32"/>
        </w:rPr>
        <w:t>13.47</w:t>
      </w:r>
      <w:r>
        <w:rPr>
          <w:rFonts w:hint="eastAsia" w:ascii="宋体"/>
          <w:sz w:val="32"/>
          <w:szCs w:val="32"/>
        </w:rPr>
        <w:t>万元，主要包括商品和服务支出</w:t>
      </w:r>
      <w:r>
        <w:rPr>
          <w:rFonts w:ascii="宋体"/>
          <w:sz w:val="32"/>
          <w:szCs w:val="32"/>
        </w:rPr>
        <w:t>13.47</w:t>
      </w:r>
      <w:r>
        <w:rPr>
          <w:rFonts w:hint="eastAsia" w:ascii="宋体"/>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rPr>
          <w:rFonts w:ascii="宋体"/>
          <w:sz w:val="32"/>
          <w:szCs w:val="32"/>
        </w:rPr>
      </w:pPr>
      <w:r>
        <w:rPr>
          <w:rFonts w:ascii="宋体"/>
          <w:sz w:val="32"/>
          <w:szCs w:val="32"/>
        </w:rPr>
        <w:t>2021</w:t>
      </w:r>
      <w:r>
        <w:rPr>
          <w:rFonts w:hint="eastAsia" w:ascii="宋体"/>
          <w:sz w:val="32"/>
          <w:szCs w:val="32"/>
        </w:rPr>
        <w:t>年“三公”经费一般公共财政拨款支出决算</w:t>
      </w:r>
      <w:r>
        <w:rPr>
          <w:rFonts w:ascii="宋体"/>
          <w:sz w:val="32"/>
          <w:szCs w:val="32"/>
        </w:rPr>
        <w:t>3</w:t>
      </w:r>
      <w:r>
        <w:rPr>
          <w:rFonts w:hint="eastAsia" w:ascii="宋体"/>
          <w:sz w:val="32"/>
          <w:szCs w:val="32"/>
        </w:rPr>
        <w:t>万元，比</w:t>
      </w:r>
      <w:r>
        <w:rPr>
          <w:rFonts w:ascii="宋体"/>
          <w:sz w:val="32"/>
          <w:szCs w:val="32"/>
        </w:rPr>
        <w:t>2020</w:t>
      </w:r>
      <w:r>
        <w:rPr>
          <w:rFonts w:hint="eastAsia" w:ascii="宋体"/>
          <w:sz w:val="32"/>
          <w:szCs w:val="32"/>
        </w:rPr>
        <w:t>年减少</w:t>
      </w:r>
      <w:r>
        <w:rPr>
          <w:rFonts w:ascii="宋体"/>
          <w:sz w:val="32"/>
          <w:szCs w:val="32"/>
        </w:rPr>
        <w:t>0.09</w:t>
      </w:r>
      <w:r>
        <w:rPr>
          <w:rFonts w:hint="eastAsia" w:ascii="宋体"/>
          <w:sz w:val="32"/>
          <w:szCs w:val="32"/>
        </w:rPr>
        <w:t>万元。其中：公务用车运行维护费</w:t>
      </w:r>
      <w:r>
        <w:rPr>
          <w:rFonts w:ascii="宋体"/>
          <w:sz w:val="32"/>
          <w:szCs w:val="32"/>
        </w:rPr>
        <w:t>3</w:t>
      </w:r>
      <w:r>
        <w:rPr>
          <w:rFonts w:hint="eastAsia" w:ascii="宋体"/>
          <w:sz w:val="32"/>
          <w:szCs w:val="32"/>
        </w:rPr>
        <w:t>万元，比上年减少</w:t>
      </w:r>
      <w:r>
        <w:rPr>
          <w:rFonts w:ascii="宋体"/>
          <w:sz w:val="32"/>
          <w:szCs w:val="32"/>
        </w:rPr>
        <w:t>0.09</w:t>
      </w:r>
      <w:r>
        <w:rPr>
          <w:rFonts w:hint="eastAsia" w:ascii="宋体"/>
          <w:sz w:val="32"/>
          <w:szCs w:val="32"/>
        </w:rPr>
        <w:t>万元，原因是公车出勤次数减少。</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sz w:val="32"/>
          <w:szCs w:val="32"/>
        </w:rPr>
      </w:pPr>
      <w:r>
        <w:rPr>
          <w:rFonts w:hint="eastAsia" w:ascii="宋体"/>
          <w:sz w:val="32"/>
          <w:szCs w:val="32"/>
        </w:rPr>
        <w:t>我单位</w:t>
      </w:r>
      <w:r>
        <w:rPr>
          <w:rFonts w:ascii="宋体"/>
          <w:sz w:val="32"/>
          <w:szCs w:val="32"/>
        </w:rPr>
        <w:t>2021</w:t>
      </w:r>
      <w:r>
        <w:rPr>
          <w:rFonts w:hint="eastAsia" w:ascii="宋体"/>
          <w:sz w:val="32"/>
          <w:szCs w:val="32"/>
        </w:rPr>
        <w:t>年无政府性基金预算。</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ascii="楷体" w:hAnsi="楷体" w:eastAsia="楷体" w:cs="楷体"/>
          <w:spacing w:val="-3"/>
          <w:sz w:val="32"/>
          <w:szCs w:val="32"/>
        </w:rPr>
        <w:t>1</w:t>
      </w:r>
      <w:r>
        <w:rPr>
          <w:rFonts w:hint="eastAsia" w:ascii="楷体" w:hAnsi="楷体" w:eastAsia="楷体" w:cs="楷体"/>
          <w:spacing w:val="-3"/>
          <w:sz w:val="32"/>
          <w:szCs w:val="32"/>
        </w:rPr>
        <w:t>、机关运行经费支出情况</w:t>
      </w:r>
    </w:p>
    <w:p>
      <w:pPr>
        <w:ind w:firstLine="640"/>
        <w:rPr>
          <w:rFonts w:ascii="宋体"/>
          <w:sz w:val="32"/>
          <w:szCs w:val="32"/>
        </w:rPr>
      </w:pPr>
      <w:r>
        <w:rPr>
          <w:rFonts w:hint="eastAsia" w:ascii="宋体"/>
          <w:sz w:val="32"/>
          <w:szCs w:val="32"/>
        </w:rPr>
        <w:t>单位机关运行经费支出</w:t>
      </w:r>
      <w:r>
        <w:rPr>
          <w:rFonts w:ascii="宋体"/>
          <w:sz w:val="32"/>
          <w:szCs w:val="32"/>
        </w:rPr>
        <w:t>13.47</w:t>
      </w:r>
      <w:r>
        <w:rPr>
          <w:rFonts w:hint="eastAsia" w:ascii="宋体"/>
          <w:sz w:val="32"/>
          <w:szCs w:val="32"/>
        </w:rPr>
        <w:t>万元，比</w:t>
      </w:r>
      <w:r>
        <w:rPr>
          <w:rFonts w:ascii="宋体"/>
          <w:sz w:val="32"/>
          <w:szCs w:val="32"/>
        </w:rPr>
        <w:t>2020</w:t>
      </w:r>
      <w:r>
        <w:rPr>
          <w:rFonts w:hint="eastAsia" w:ascii="宋体"/>
          <w:sz w:val="32"/>
          <w:szCs w:val="32"/>
        </w:rPr>
        <w:t>年减少</w:t>
      </w:r>
      <w:r>
        <w:rPr>
          <w:rFonts w:ascii="宋体"/>
          <w:sz w:val="32"/>
          <w:szCs w:val="32"/>
        </w:rPr>
        <w:t>17.83</w:t>
      </w:r>
      <w:r>
        <w:rPr>
          <w:rFonts w:hint="eastAsia" w:ascii="宋体"/>
          <w:sz w:val="32"/>
          <w:szCs w:val="32"/>
        </w:rPr>
        <w:t>万元，减少</w:t>
      </w:r>
      <w:r>
        <w:rPr>
          <w:rFonts w:ascii="宋体"/>
          <w:sz w:val="32"/>
          <w:szCs w:val="32"/>
        </w:rPr>
        <w:t>132%</w:t>
      </w:r>
      <w:r>
        <w:rPr>
          <w:rFonts w:hint="eastAsia" w:ascii="宋体"/>
          <w:sz w:val="32"/>
          <w:szCs w:val="32"/>
        </w:rPr>
        <w:t>，主要原因是邮电费、培训费、设备购置费建少，取暖费取消。</w:t>
      </w:r>
    </w:p>
    <w:p>
      <w:pPr>
        <w:spacing w:line="204" w:lineRule="auto"/>
        <w:jc w:val="left"/>
        <w:rPr>
          <w:rFonts w:ascii="楷体" w:hAnsi="楷体" w:eastAsia="楷体" w:cs="楷体"/>
          <w:spacing w:val="-3"/>
          <w:sz w:val="32"/>
          <w:szCs w:val="32"/>
        </w:rPr>
      </w:pPr>
      <w:r>
        <w:rPr>
          <w:rFonts w:ascii="楷体" w:hAnsi="楷体" w:eastAsia="楷体" w:cs="楷体"/>
          <w:spacing w:val="-3"/>
          <w:sz w:val="32"/>
          <w:szCs w:val="32"/>
        </w:rPr>
        <w:t>2</w:t>
      </w:r>
      <w:r>
        <w:rPr>
          <w:rFonts w:hint="eastAsia" w:ascii="楷体" w:hAnsi="楷体" w:eastAsia="楷体" w:cs="楷体"/>
          <w:spacing w:val="-3"/>
          <w:sz w:val="32"/>
          <w:szCs w:val="32"/>
        </w:rPr>
        <w:t>、政府采购支出情况</w:t>
      </w:r>
    </w:p>
    <w:p>
      <w:pPr>
        <w:ind w:firstLine="640"/>
        <w:rPr>
          <w:rFonts w:ascii="宋体"/>
          <w:sz w:val="32"/>
          <w:szCs w:val="32"/>
        </w:rPr>
      </w:pPr>
      <w:r>
        <w:rPr>
          <w:rFonts w:ascii="宋体"/>
          <w:sz w:val="32"/>
          <w:szCs w:val="32"/>
        </w:rPr>
        <w:t>2021</w:t>
      </w:r>
      <w:r>
        <w:rPr>
          <w:rFonts w:hint="eastAsia" w:ascii="宋体"/>
          <w:sz w:val="32"/>
          <w:szCs w:val="32"/>
        </w:rPr>
        <w:t>年我单位政府采购总额</w:t>
      </w:r>
      <w:r>
        <w:rPr>
          <w:rFonts w:ascii="宋体"/>
          <w:sz w:val="32"/>
          <w:szCs w:val="32"/>
        </w:rPr>
        <w:t>114.67</w:t>
      </w:r>
      <w:r>
        <w:rPr>
          <w:rFonts w:hint="eastAsia" w:ascii="宋体"/>
          <w:sz w:val="32"/>
          <w:szCs w:val="32"/>
        </w:rPr>
        <w:t>万元，比</w:t>
      </w:r>
      <w:r>
        <w:rPr>
          <w:rFonts w:ascii="宋体"/>
          <w:sz w:val="32"/>
          <w:szCs w:val="32"/>
        </w:rPr>
        <w:t>2020</w:t>
      </w:r>
      <w:r>
        <w:rPr>
          <w:rFonts w:hint="eastAsia" w:ascii="宋体"/>
          <w:sz w:val="32"/>
          <w:szCs w:val="32"/>
        </w:rPr>
        <w:t>年增加</w:t>
      </w:r>
      <w:r>
        <w:rPr>
          <w:rFonts w:ascii="宋体"/>
          <w:sz w:val="32"/>
          <w:szCs w:val="32"/>
        </w:rPr>
        <w:t>111.75</w:t>
      </w:r>
      <w:r>
        <w:rPr>
          <w:rFonts w:hint="eastAsia" w:ascii="宋体"/>
          <w:sz w:val="32"/>
          <w:szCs w:val="32"/>
        </w:rPr>
        <w:t>万元，其中：信息网络及软件购置更新等</w:t>
      </w:r>
      <w:r>
        <w:rPr>
          <w:rFonts w:ascii="宋体"/>
          <w:sz w:val="32"/>
          <w:szCs w:val="32"/>
        </w:rPr>
        <w:t>49.16</w:t>
      </w:r>
      <w:r>
        <w:rPr>
          <w:rFonts w:hint="eastAsia" w:ascii="宋体"/>
          <w:sz w:val="32"/>
          <w:szCs w:val="32"/>
        </w:rPr>
        <w:t>万元，劳务费</w:t>
      </w:r>
      <w:r>
        <w:rPr>
          <w:rFonts w:ascii="宋体"/>
          <w:sz w:val="32"/>
          <w:szCs w:val="32"/>
        </w:rPr>
        <w:t>65.51</w:t>
      </w:r>
      <w:r>
        <w:rPr>
          <w:rFonts w:hint="eastAsia" w:ascii="宋体"/>
          <w:sz w:val="32"/>
          <w:szCs w:val="32"/>
        </w:rPr>
        <w:t>万元。</w:t>
      </w:r>
    </w:p>
    <w:p>
      <w:pPr>
        <w:spacing w:line="204" w:lineRule="auto"/>
        <w:jc w:val="left"/>
        <w:rPr>
          <w:rFonts w:ascii="楷体" w:hAnsi="楷体" w:eastAsia="楷体" w:cs="楷体"/>
          <w:spacing w:val="-3"/>
          <w:sz w:val="32"/>
          <w:szCs w:val="32"/>
        </w:rPr>
      </w:pPr>
      <w:r>
        <w:rPr>
          <w:rFonts w:ascii="楷体" w:hAnsi="楷体" w:eastAsia="楷体" w:cs="楷体"/>
          <w:spacing w:val="-3"/>
          <w:sz w:val="32"/>
          <w:szCs w:val="32"/>
        </w:rPr>
        <w:t>3</w:t>
      </w:r>
      <w:r>
        <w:rPr>
          <w:rFonts w:hint="eastAsia" w:ascii="楷体" w:hAnsi="楷体" w:eastAsia="楷体" w:cs="楷体"/>
          <w:spacing w:val="-3"/>
          <w:sz w:val="32"/>
          <w:szCs w:val="32"/>
        </w:rPr>
        <w:t>、国有资产占有情况</w:t>
      </w:r>
    </w:p>
    <w:p>
      <w:pPr>
        <w:ind w:firstLine="640"/>
        <w:rPr>
          <w:rFonts w:ascii="宋体"/>
          <w:sz w:val="32"/>
          <w:szCs w:val="32"/>
        </w:rPr>
      </w:pPr>
      <w:r>
        <w:rPr>
          <w:rFonts w:hint="eastAsia" w:ascii="宋体"/>
          <w:sz w:val="32"/>
          <w:szCs w:val="32"/>
        </w:rPr>
        <w:t>截至</w:t>
      </w:r>
      <w:r>
        <w:rPr>
          <w:rFonts w:ascii="宋体"/>
          <w:sz w:val="32"/>
          <w:szCs w:val="32"/>
        </w:rPr>
        <w:t>2021</w:t>
      </w:r>
      <w:r>
        <w:rPr>
          <w:rFonts w:hint="eastAsia" w:ascii="宋体"/>
          <w:sz w:val="32"/>
          <w:szCs w:val="32"/>
        </w:rPr>
        <w:t>年</w:t>
      </w:r>
      <w:r>
        <w:rPr>
          <w:rFonts w:ascii="宋体"/>
          <w:sz w:val="32"/>
          <w:szCs w:val="32"/>
        </w:rPr>
        <w:t>12</w:t>
      </w:r>
      <w:r>
        <w:rPr>
          <w:rFonts w:hint="eastAsia" w:ascii="宋体"/>
          <w:sz w:val="32"/>
          <w:szCs w:val="32"/>
        </w:rPr>
        <w:t>月</w:t>
      </w:r>
      <w:r>
        <w:rPr>
          <w:rFonts w:ascii="宋体"/>
          <w:sz w:val="32"/>
          <w:szCs w:val="32"/>
        </w:rPr>
        <w:t>31</w:t>
      </w:r>
      <w:r>
        <w:rPr>
          <w:rFonts w:hint="eastAsia" w:ascii="宋体"/>
          <w:sz w:val="32"/>
          <w:szCs w:val="32"/>
        </w:rPr>
        <w:t>日，本部门共有车辆</w:t>
      </w:r>
      <w:r>
        <w:rPr>
          <w:rFonts w:hint="eastAsia" w:ascii="宋体"/>
          <w:sz w:val="32"/>
          <w:szCs w:val="32"/>
          <w:lang w:val="en-US" w:eastAsia="zh-CN"/>
        </w:rPr>
        <w:t>11</w:t>
      </w:r>
      <w:r>
        <w:rPr>
          <w:rFonts w:hint="eastAsia" w:ascii="宋体"/>
          <w:sz w:val="32"/>
          <w:szCs w:val="32"/>
        </w:rPr>
        <w:t>辆，其中，一般公务车</w:t>
      </w:r>
      <w:r>
        <w:rPr>
          <w:rFonts w:hint="eastAsia" w:ascii="宋体"/>
          <w:sz w:val="32"/>
          <w:szCs w:val="32"/>
          <w:lang w:val="en-US" w:eastAsia="zh-CN"/>
        </w:rPr>
        <w:t>0</w:t>
      </w:r>
      <w:r>
        <w:rPr>
          <w:rFonts w:hint="eastAsia" w:ascii="宋体"/>
          <w:sz w:val="32"/>
          <w:szCs w:val="32"/>
        </w:rPr>
        <w:t>辆，执法执勤用车</w:t>
      </w:r>
      <w:r>
        <w:rPr>
          <w:rFonts w:hint="eastAsia" w:ascii="宋体"/>
          <w:sz w:val="32"/>
          <w:szCs w:val="32"/>
          <w:lang w:val="en-US" w:eastAsia="zh-CN"/>
        </w:rPr>
        <w:t>4</w:t>
      </w:r>
      <w:r>
        <w:rPr>
          <w:rFonts w:hint="eastAsia" w:ascii="宋体"/>
          <w:sz w:val="32"/>
          <w:szCs w:val="32"/>
        </w:rPr>
        <w:t>辆，其他车</w:t>
      </w:r>
      <w:r>
        <w:rPr>
          <w:rFonts w:hint="eastAsia" w:ascii="宋体"/>
          <w:sz w:val="32"/>
          <w:szCs w:val="32"/>
          <w:lang w:val="en-US" w:eastAsia="zh-CN"/>
        </w:rPr>
        <w:t>7</w:t>
      </w:r>
      <w:r>
        <w:rPr>
          <w:rFonts w:hint="eastAsia" w:ascii="宋体"/>
          <w:sz w:val="32"/>
          <w:szCs w:val="32"/>
        </w:rPr>
        <w:t>辆，单价</w:t>
      </w:r>
      <w:r>
        <w:rPr>
          <w:rFonts w:ascii="宋体"/>
          <w:sz w:val="32"/>
          <w:szCs w:val="32"/>
        </w:rPr>
        <w:t>50</w:t>
      </w:r>
      <w:r>
        <w:rPr>
          <w:rFonts w:hint="eastAsia" w:ascii="宋体"/>
          <w:sz w:val="32"/>
          <w:szCs w:val="32"/>
        </w:rPr>
        <w:t>万元（含）以上的通用设备</w:t>
      </w:r>
      <w:r>
        <w:rPr>
          <w:rFonts w:ascii="宋体"/>
          <w:sz w:val="32"/>
          <w:szCs w:val="32"/>
        </w:rPr>
        <w:t>53</w:t>
      </w:r>
      <w:r>
        <w:rPr>
          <w:rFonts w:hint="eastAsia" w:ascii="宋体"/>
          <w:sz w:val="32"/>
          <w:szCs w:val="32"/>
        </w:rPr>
        <w:t>台（套），</w:t>
      </w:r>
      <w:r>
        <w:rPr>
          <w:rFonts w:ascii="宋体"/>
          <w:sz w:val="32"/>
          <w:szCs w:val="32"/>
        </w:rPr>
        <w:t xml:space="preserve"> </w:t>
      </w:r>
      <w:r>
        <w:rPr>
          <w:rFonts w:hint="eastAsia" w:ascii="宋体"/>
          <w:sz w:val="32"/>
          <w:szCs w:val="32"/>
        </w:rPr>
        <w:t>单价</w:t>
      </w:r>
      <w:r>
        <w:rPr>
          <w:rFonts w:ascii="宋体"/>
          <w:sz w:val="32"/>
          <w:szCs w:val="32"/>
        </w:rPr>
        <w:t>100</w:t>
      </w:r>
      <w:r>
        <w:rPr>
          <w:rFonts w:hint="eastAsia" w:ascii="宋体"/>
          <w:sz w:val="32"/>
          <w:szCs w:val="32"/>
        </w:rPr>
        <w:t>万元（含）以上专用设备</w:t>
      </w:r>
      <w:r>
        <w:rPr>
          <w:rFonts w:ascii="宋体"/>
          <w:sz w:val="32"/>
          <w:szCs w:val="32"/>
        </w:rPr>
        <w:t>0</w:t>
      </w:r>
      <w:r>
        <w:rPr>
          <w:rFonts w:hint="eastAsia" w:ascii="宋体"/>
          <w:sz w:val="32"/>
          <w:szCs w:val="32"/>
        </w:rPr>
        <w:t>台（套）。</w:t>
      </w:r>
      <w:bookmarkStart w:id="20" w:name="_GoBack"/>
      <w:bookmarkEnd w:id="20"/>
    </w:p>
    <w:p>
      <w:pPr>
        <w:tabs>
          <w:tab w:val="left" w:pos="312"/>
        </w:tabs>
        <w:spacing w:line="204" w:lineRule="auto"/>
        <w:jc w:val="left"/>
        <w:rPr>
          <w:rFonts w:ascii="楷体" w:hAnsi="楷体" w:eastAsia="楷体" w:cs="楷体"/>
          <w:spacing w:val="-3"/>
          <w:sz w:val="32"/>
          <w:szCs w:val="32"/>
        </w:rPr>
      </w:pPr>
      <w:r>
        <w:rPr>
          <w:rFonts w:ascii="楷体" w:hAnsi="楷体" w:eastAsia="楷体" w:cs="楷体"/>
          <w:spacing w:val="-3"/>
          <w:sz w:val="32"/>
          <w:szCs w:val="32"/>
        </w:rPr>
        <w:t>4</w:t>
      </w:r>
      <w:r>
        <w:rPr>
          <w:rFonts w:hint="eastAsia" w:ascii="楷体" w:hAnsi="楷体" w:eastAsia="楷体" w:cs="楷体"/>
          <w:spacing w:val="-3"/>
          <w:sz w:val="32"/>
          <w:szCs w:val="32"/>
        </w:rPr>
        <w:t>、绩效管理情况</w:t>
      </w:r>
    </w:p>
    <w:p>
      <w:pPr>
        <w:ind w:firstLine="640"/>
        <w:rPr>
          <w:rFonts w:ascii="宋体"/>
          <w:sz w:val="32"/>
          <w:szCs w:val="32"/>
        </w:rPr>
      </w:pPr>
      <w:r>
        <w:rPr>
          <w:rFonts w:ascii="宋体"/>
          <w:sz w:val="32"/>
          <w:szCs w:val="32"/>
        </w:rPr>
        <w:t>2021</w:t>
      </w:r>
      <w:r>
        <w:rPr>
          <w:rFonts w:hint="eastAsia" w:ascii="宋体"/>
          <w:sz w:val="32"/>
          <w:szCs w:val="32"/>
        </w:rPr>
        <w:t>年度单位实行绩效目标管理的项目</w:t>
      </w:r>
      <w:r>
        <w:rPr>
          <w:rFonts w:ascii="宋体"/>
          <w:sz w:val="32"/>
          <w:szCs w:val="32"/>
        </w:rPr>
        <w:t>3</w:t>
      </w:r>
      <w:r>
        <w:rPr>
          <w:rFonts w:hint="eastAsia" w:ascii="宋体"/>
          <w:sz w:val="32"/>
          <w:szCs w:val="32"/>
        </w:rPr>
        <w:t>个</w:t>
      </w:r>
      <w:r>
        <w:rPr>
          <w:rFonts w:ascii="宋体"/>
          <w:sz w:val="32"/>
          <w:szCs w:val="32"/>
        </w:rPr>
        <w:t>,</w:t>
      </w:r>
      <w:r>
        <w:rPr>
          <w:rFonts w:hint="eastAsia" w:ascii="宋体"/>
          <w:sz w:val="32"/>
          <w:szCs w:val="32"/>
        </w:rPr>
        <w:t>一、是组织领导到位。局领导高度重视内部控制自查评价工作，在办公会上作出了专题部署。内部控制归口管理科室、办公室组织成立内部控制工作小组，制定自查评价实施方案，向全局印发通知文件，明确了自查评价的全面性、重要性、问题导向、客观性四项原则，以及实施自查的时间、范围、内容、流程等具体安排。二、是自查实施到位。根据实施方案要求，全局各科室全面梳理业务和职责流程，明确每项工作是否重点业务、涉及岗位及人员姓名、关键岗位、工作流程、关键环节，为接受自查评价打好基础</w:t>
      </w:r>
      <w:r>
        <w:rPr>
          <w:rFonts w:ascii="宋体"/>
          <w:sz w:val="32"/>
          <w:szCs w:val="32"/>
        </w:rPr>
        <w:t>;</w:t>
      </w:r>
      <w:r>
        <w:rPr>
          <w:rFonts w:hint="eastAsia" w:ascii="宋体"/>
          <w:sz w:val="32"/>
          <w:szCs w:val="32"/>
        </w:rPr>
        <w:t>内部控制工作小组依据《科室业务统计表》、现有内控操作规程、业务管理办法等内控制度，对照实际工作情况，通过查看会议记录、底稿、签报、凭证、报表、信息系统记录等原始记录，综合运用等方法，检查各科室内部控制执行情况，全面排查风险，评估流程措施是否到位，防控是否有效。三、是评价反馈到位。内部控制工作小组根据自查结果，填写《各科室内部控制自查结果汇总表》《科室内部控制自查评价表》，对各科室控制环境、控制活动、信息与沟通、内部监督四个方面的内部控制工作内容进行打分评价，同时梳理好的经验做法，如实反映存在的问题，提出改进的建议，及时通过书面形式将自查评价意见反馈至各科室，并督促整改，部分问题已整改到位。　</w:t>
      </w:r>
    </w:p>
    <w:p>
      <w:pPr>
        <w:spacing w:line="204" w:lineRule="auto"/>
        <w:jc w:val="left"/>
        <w:rPr>
          <w:rFonts w:ascii="楷体" w:hAnsi="楷体" w:eastAsia="楷体" w:cs="楷体"/>
          <w:spacing w:val="-3"/>
          <w:sz w:val="32"/>
          <w:szCs w:val="32"/>
        </w:rPr>
      </w:pPr>
      <w:r>
        <w:rPr>
          <w:rFonts w:ascii="楷体" w:hAnsi="楷体" w:eastAsia="楷体" w:cs="楷体"/>
          <w:spacing w:val="-3"/>
          <w:sz w:val="32"/>
          <w:szCs w:val="32"/>
        </w:rPr>
        <w:t>5.</w:t>
      </w:r>
      <w:r>
        <w:rPr>
          <w:rFonts w:hint="eastAsia" w:ascii="楷体" w:hAnsi="楷体" w:eastAsia="楷体" w:cs="楷体"/>
          <w:spacing w:val="-3"/>
          <w:sz w:val="32"/>
          <w:szCs w:val="32"/>
        </w:rPr>
        <w:t>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18" w:name="_Toc32537"/>
      <w:bookmarkStart w:id="19" w:name="_Toc8549_WPSOffice_Level1"/>
      <w:r>
        <w:rPr>
          <w:rFonts w:hint="eastAsia" w:ascii="黑体" w:hAnsi="黑体" w:eastAsia="黑体" w:cs="黑体"/>
          <w:snapToGrid w:val="0"/>
          <w:spacing w:val="-4"/>
          <w:kern w:val="0"/>
          <w:sz w:val="32"/>
          <w:szCs w:val="32"/>
        </w:rPr>
        <w:t>第四部分名词解释</w:t>
      </w:r>
      <w:bookmarkEnd w:id="18"/>
      <w:bookmarkEnd w:id="19"/>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ascii="仿宋" w:hAnsi="仿宋" w:eastAsia="仿宋" w:cs="仿宋"/>
          <w:spacing w:val="4"/>
          <w:sz w:val="32"/>
          <w:szCs w:val="32"/>
        </w:rPr>
        <w:t>:</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ascii="仿宋" w:hAnsi="仿宋" w:eastAsia="仿宋" w:cs="仿宋"/>
          <w:spacing w:val="4"/>
          <w:sz w:val="32"/>
          <w:szCs w:val="32"/>
        </w:rPr>
        <w:t>:</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ascii="仿宋" w:hAnsi="仿宋" w:eastAsia="仿宋" w:cs="仿宋"/>
          <w:spacing w:val="4"/>
          <w:sz w:val="32"/>
          <w:szCs w:val="32"/>
        </w:rPr>
        <w:t>:</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ascii="仿宋" w:hAnsi="仿宋" w:eastAsia="仿宋" w:cs="仿宋"/>
          <w:spacing w:val="4"/>
          <w:sz w:val="32"/>
          <w:szCs w:val="32"/>
        </w:rPr>
        <w:t>:</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ascii="仿宋" w:hAnsi="仿宋" w:eastAsia="仿宋" w:cs="仿宋"/>
          <w:spacing w:val="4"/>
          <w:sz w:val="32"/>
          <w:szCs w:val="32"/>
        </w:rPr>
        <w:t>:</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ascii="仿宋" w:hAnsi="仿宋" w:eastAsia="仿宋" w:cs="仿宋"/>
          <w:spacing w:val="4"/>
          <w:sz w:val="32"/>
          <w:szCs w:val="32"/>
        </w:rPr>
        <w:t>:</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ascii="仿宋" w:hAnsi="仿宋" w:eastAsia="仿宋" w:cs="仿宋"/>
          <w:spacing w:val="4"/>
          <w:sz w:val="32"/>
          <w:szCs w:val="32"/>
        </w:rPr>
        <w:t>:</w:t>
      </w:r>
      <w:r>
        <w:rPr>
          <w:rFonts w:hint="eastAsia" w:ascii="仿宋" w:hAnsi="仿宋" w:eastAsia="仿宋" w:cs="仿宋"/>
          <w:spacing w:val="4"/>
          <w:sz w:val="32"/>
          <w:szCs w:val="32"/>
        </w:rPr>
        <w:t>指事业单位在当年的“财政拨款收入”、“财政拨款结转和结余资金”、“事业收入”、“事业单位经营收入”、“其他区收入”不足以安排当年支出的情况下，使用以前年度积累的事业基金</w:t>
      </w:r>
      <w:r>
        <w:rPr>
          <w:rFonts w:ascii="仿宋" w:hAnsi="仿宋" w:eastAsia="仿宋" w:cs="仿宋"/>
          <w:spacing w:val="4"/>
          <w:sz w:val="32"/>
          <w:szCs w:val="32"/>
        </w:rPr>
        <w:t>(</w:t>
      </w:r>
      <w:r>
        <w:rPr>
          <w:rFonts w:hint="eastAsia" w:ascii="仿宋" w:hAnsi="仿宋" w:eastAsia="仿宋" w:cs="仿宋"/>
          <w:spacing w:val="4"/>
          <w:sz w:val="32"/>
          <w:szCs w:val="32"/>
        </w:rPr>
        <w:t>即事业单位当年收支相抵后按国家规定提取、用于弥补以后年度收支差额的基金</w:t>
      </w:r>
      <w:r>
        <w:rPr>
          <w:rFonts w:ascii="仿宋" w:hAnsi="仿宋" w:eastAsia="仿宋" w:cs="仿宋"/>
          <w:spacing w:val="4"/>
          <w:sz w:val="32"/>
          <w:szCs w:val="32"/>
        </w:rPr>
        <w:t>)</w:t>
      </w:r>
      <w:r>
        <w:rPr>
          <w:rFonts w:hint="eastAsia" w:ascii="仿宋" w:hAnsi="仿宋" w:eastAsia="仿宋" w:cs="仿宋"/>
          <w:spacing w:val="4"/>
          <w:sz w:val="32"/>
          <w:szCs w:val="32"/>
        </w:rPr>
        <w:t>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cs="Times New Roman"/>
      </w:rPr>
    </w:lvl>
  </w:abstractNum>
  <w:abstractNum w:abstractNumId="1">
    <w:nsid w:val="32CD2E15"/>
    <w:multiLevelType w:val="singleLevel"/>
    <w:tmpl w:val="32CD2E15"/>
    <w:lvl w:ilvl="0" w:tentative="0">
      <w:start w:val="1"/>
      <w:numFmt w:val="chineseCounting"/>
      <w:suff w:val="nothing"/>
      <w:lvlText w:val="（%1）"/>
      <w:lvlJc w:val="left"/>
      <w:rPr>
        <w:rFonts w:hint="eastAsia" w:cs="Times New Roman"/>
      </w:rPr>
    </w:lvl>
  </w:abstractNum>
  <w:abstractNum w:abstractNumId="2">
    <w:nsid w:val="6AF4BF66"/>
    <w:multiLevelType w:val="singleLevel"/>
    <w:tmpl w:val="6AF4BF66"/>
    <w:lvl w:ilvl="0" w:tentative="0">
      <w:start w:val="1"/>
      <w:numFmt w:val="chineseCounting"/>
      <w:suff w:val="nothing"/>
      <w:lvlText w:val="%1、"/>
      <w:lvlJc w:val="left"/>
      <w:rPr>
        <w:rFonts w:hint="eastAsia"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ZhZTRkYzZhNDQ3YWM5MmVlNTkxYjhhZGI5MTJjZWUifQ=="/>
  </w:docVars>
  <w:rsids>
    <w:rsidRoot w:val="7E3F0B7D"/>
    <w:rsid w:val="000014A7"/>
    <w:rsid w:val="00013F1C"/>
    <w:rsid w:val="0002019A"/>
    <w:rsid w:val="0002039B"/>
    <w:rsid w:val="00022727"/>
    <w:rsid w:val="00023F82"/>
    <w:rsid w:val="00033F7F"/>
    <w:rsid w:val="0003679A"/>
    <w:rsid w:val="00052B5B"/>
    <w:rsid w:val="00072D03"/>
    <w:rsid w:val="0008131F"/>
    <w:rsid w:val="00085B3D"/>
    <w:rsid w:val="000A4775"/>
    <w:rsid w:val="000C24A1"/>
    <w:rsid w:val="000C3CD5"/>
    <w:rsid w:val="000C7775"/>
    <w:rsid w:val="000D47F0"/>
    <w:rsid w:val="00110962"/>
    <w:rsid w:val="001129B8"/>
    <w:rsid w:val="00122C2B"/>
    <w:rsid w:val="001251B0"/>
    <w:rsid w:val="00131BA7"/>
    <w:rsid w:val="00140F9E"/>
    <w:rsid w:val="001544DE"/>
    <w:rsid w:val="00161678"/>
    <w:rsid w:val="00161CB8"/>
    <w:rsid w:val="001671A3"/>
    <w:rsid w:val="001B7E87"/>
    <w:rsid w:val="001C199B"/>
    <w:rsid w:val="001D75F5"/>
    <w:rsid w:val="001E3DF2"/>
    <w:rsid w:val="0021351A"/>
    <w:rsid w:val="00226150"/>
    <w:rsid w:val="00242BA0"/>
    <w:rsid w:val="00243E74"/>
    <w:rsid w:val="00243FB7"/>
    <w:rsid w:val="00250F46"/>
    <w:rsid w:val="00284471"/>
    <w:rsid w:val="00290E5E"/>
    <w:rsid w:val="00293EBD"/>
    <w:rsid w:val="0029437B"/>
    <w:rsid w:val="002A26C2"/>
    <w:rsid w:val="002F4533"/>
    <w:rsid w:val="00325B52"/>
    <w:rsid w:val="0036778C"/>
    <w:rsid w:val="00377C5F"/>
    <w:rsid w:val="003A226C"/>
    <w:rsid w:val="003B14BE"/>
    <w:rsid w:val="003B66BB"/>
    <w:rsid w:val="003C274C"/>
    <w:rsid w:val="003E04F9"/>
    <w:rsid w:val="003F0368"/>
    <w:rsid w:val="003F3427"/>
    <w:rsid w:val="003F4423"/>
    <w:rsid w:val="0040664D"/>
    <w:rsid w:val="00440003"/>
    <w:rsid w:val="0046131C"/>
    <w:rsid w:val="004638AA"/>
    <w:rsid w:val="004B2374"/>
    <w:rsid w:val="004B593E"/>
    <w:rsid w:val="004B7120"/>
    <w:rsid w:val="004D0593"/>
    <w:rsid w:val="004D0B80"/>
    <w:rsid w:val="004E78A6"/>
    <w:rsid w:val="00512960"/>
    <w:rsid w:val="00516CAE"/>
    <w:rsid w:val="005207B8"/>
    <w:rsid w:val="00555188"/>
    <w:rsid w:val="00567EFD"/>
    <w:rsid w:val="00570409"/>
    <w:rsid w:val="00574CFE"/>
    <w:rsid w:val="005A0C11"/>
    <w:rsid w:val="005A6ED9"/>
    <w:rsid w:val="005B6439"/>
    <w:rsid w:val="005C1FD3"/>
    <w:rsid w:val="00601431"/>
    <w:rsid w:val="00603AAD"/>
    <w:rsid w:val="006138A1"/>
    <w:rsid w:val="00635ED0"/>
    <w:rsid w:val="006571EC"/>
    <w:rsid w:val="00663B4D"/>
    <w:rsid w:val="0067209D"/>
    <w:rsid w:val="006833EA"/>
    <w:rsid w:val="006A3A4E"/>
    <w:rsid w:val="006B01EA"/>
    <w:rsid w:val="006C0ED2"/>
    <w:rsid w:val="006C658B"/>
    <w:rsid w:val="006D352B"/>
    <w:rsid w:val="006D5E61"/>
    <w:rsid w:val="006E1FBD"/>
    <w:rsid w:val="006F49FA"/>
    <w:rsid w:val="006F71CD"/>
    <w:rsid w:val="007011B8"/>
    <w:rsid w:val="00760AAF"/>
    <w:rsid w:val="00774AFB"/>
    <w:rsid w:val="00776E2D"/>
    <w:rsid w:val="007A2CDD"/>
    <w:rsid w:val="007A75DF"/>
    <w:rsid w:val="007A7F0D"/>
    <w:rsid w:val="008153D4"/>
    <w:rsid w:val="008443CC"/>
    <w:rsid w:val="00865C16"/>
    <w:rsid w:val="00872156"/>
    <w:rsid w:val="00892AF6"/>
    <w:rsid w:val="00897732"/>
    <w:rsid w:val="008A305B"/>
    <w:rsid w:val="008B4AF2"/>
    <w:rsid w:val="008B52A4"/>
    <w:rsid w:val="008C5B7C"/>
    <w:rsid w:val="008C611A"/>
    <w:rsid w:val="008D064D"/>
    <w:rsid w:val="008E2106"/>
    <w:rsid w:val="008E4D75"/>
    <w:rsid w:val="008F3A4D"/>
    <w:rsid w:val="009055C8"/>
    <w:rsid w:val="00913C14"/>
    <w:rsid w:val="009451D7"/>
    <w:rsid w:val="00946D5A"/>
    <w:rsid w:val="009704D9"/>
    <w:rsid w:val="009A1575"/>
    <w:rsid w:val="009A382D"/>
    <w:rsid w:val="009F448B"/>
    <w:rsid w:val="00A0600C"/>
    <w:rsid w:val="00A07E99"/>
    <w:rsid w:val="00A2447F"/>
    <w:rsid w:val="00A31FDC"/>
    <w:rsid w:val="00A3351A"/>
    <w:rsid w:val="00A621D0"/>
    <w:rsid w:val="00A700FB"/>
    <w:rsid w:val="00A73226"/>
    <w:rsid w:val="00A91626"/>
    <w:rsid w:val="00A94FA2"/>
    <w:rsid w:val="00AA0FEE"/>
    <w:rsid w:val="00AB3EF8"/>
    <w:rsid w:val="00AE0491"/>
    <w:rsid w:val="00AE229A"/>
    <w:rsid w:val="00AF1EBA"/>
    <w:rsid w:val="00B05C29"/>
    <w:rsid w:val="00B13805"/>
    <w:rsid w:val="00B13C2B"/>
    <w:rsid w:val="00B20D41"/>
    <w:rsid w:val="00B41410"/>
    <w:rsid w:val="00B42B00"/>
    <w:rsid w:val="00B51D4B"/>
    <w:rsid w:val="00B553E8"/>
    <w:rsid w:val="00B57A41"/>
    <w:rsid w:val="00B76E18"/>
    <w:rsid w:val="00B8078F"/>
    <w:rsid w:val="00BB4814"/>
    <w:rsid w:val="00BE5106"/>
    <w:rsid w:val="00C0284A"/>
    <w:rsid w:val="00C22B33"/>
    <w:rsid w:val="00C33F09"/>
    <w:rsid w:val="00C36CDD"/>
    <w:rsid w:val="00C42DEB"/>
    <w:rsid w:val="00C7067A"/>
    <w:rsid w:val="00C7392C"/>
    <w:rsid w:val="00C73A34"/>
    <w:rsid w:val="00C90CD3"/>
    <w:rsid w:val="00C9641A"/>
    <w:rsid w:val="00CA6E15"/>
    <w:rsid w:val="00CD471D"/>
    <w:rsid w:val="00CD482F"/>
    <w:rsid w:val="00CE21DB"/>
    <w:rsid w:val="00CF69F2"/>
    <w:rsid w:val="00D135B7"/>
    <w:rsid w:val="00D148B0"/>
    <w:rsid w:val="00D33A38"/>
    <w:rsid w:val="00D47F38"/>
    <w:rsid w:val="00D5496D"/>
    <w:rsid w:val="00D60254"/>
    <w:rsid w:val="00D60658"/>
    <w:rsid w:val="00D80942"/>
    <w:rsid w:val="00D840AD"/>
    <w:rsid w:val="00D962AF"/>
    <w:rsid w:val="00DA1DB4"/>
    <w:rsid w:val="00DA2118"/>
    <w:rsid w:val="00DA3225"/>
    <w:rsid w:val="00DB6ECB"/>
    <w:rsid w:val="00DE0606"/>
    <w:rsid w:val="00DF4257"/>
    <w:rsid w:val="00E36927"/>
    <w:rsid w:val="00E4217F"/>
    <w:rsid w:val="00E5034B"/>
    <w:rsid w:val="00E53622"/>
    <w:rsid w:val="00E64167"/>
    <w:rsid w:val="00E671FB"/>
    <w:rsid w:val="00E75289"/>
    <w:rsid w:val="00E814E4"/>
    <w:rsid w:val="00EB23D2"/>
    <w:rsid w:val="00EC7066"/>
    <w:rsid w:val="00ED2EB8"/>
    <w:rsid w:val="00ED5709"/>
    <w:rsid w:val="00EE3C82"/>
    <w:rsid w:val="00EE5405"/>
    <w:rsid w:val="00EE5DBD"/>
    <w:rsid w:val="00EF354D"/>
    <w:rsid w:val="00F00723"/>
    <w:rsid w:val="00F01D39"/>
    <w:rsid w:val="00F85C9E"/>
    <w:rsid w:val="00F92D7F"/>
    <w:rsid w:val="00F93687"/>
    <w:rsid w:val="00FB177D"/>
    <w:rsid w:val="00FB39BD"/>
    <w:rsid w:val="00FB589D"/>
    <w:rsid w:val="00FC1AB6"/>
    <w:rsid w:val="00FD5045"/>
    <w:rsid w:val="00FF66EC"/>
    <w:rsid w:val="00FF6959"/>
    <w:rsid w:val="04500B78"/>
    <w:rsid w:val="04925027"/>
    <w:rsid w:val="079F393F"/>
    <w:rsid w:val="0C886EAB"/>
    <w:rsid w:val="0E115DFD"/>
    <w:rsid w:val="0F9C44BC"/>
    <w:rsid w:val="11D27EAE"/>
    <w:rsid w:val="12AA59AE"/>
    <w:rsid w:val="15EA4F92"/>
    <w:rsid w:val="17C23271"/>
    <w:rsid w:val="19961E55"/>
    <w:rsid w:val="20290441"/>
    <w:rsid w:val="20D97C1B"/>
    <w:rsid w:val="213B1B76"/>
    <w:rsid w:val="23553F43"/>
    <w:rsid w:val="24B73265"/>
    <w:rsid w:val="2602138D"/>
    <w:rsid w:val="26887D7C"/>
    <w:rsid w:val="286E2CB4"/>
    <w:rsid w:val="28BC12D3"/>
    <w:rsid w:val="299664C8"/>
    <w:rsid w:val="2A900FF9"/>
    <w:rsid w:val="2BEE0681"/>
    <w:rsid w:val="2BF67536"/>
    <w:rsid w:val="2DE44F88"/>
    <w:rsid w:val="2EE3329A"/>
    <w:rsid w:val="321A1516"/>
    <w:rsid w:val="331F2941"/>
    <w:rsid w:val="33DE6F71"/>
    <w:rsid w:val="349618B6"/>
    <w:rsid w:val="3F28132A"/>
    <w:rsid w:val="3FE94119"/>
    <w:rsid w:val="40B144EC"/>
    <w:rsid w:val="453E24BC"/>
    <w:rsid w:val="49221B6F"/>
    <w:rsid w:val="51312C3A"/>
    <w:rsid w:val="56D826AF"/>
    <w:rsid w:val="57324305"/>
    <w:rsid w:val="5A1800CC"/>
    <w:rsid w:val="5E2E5953"/>
    <w:rsid w:val="607A5B2E"/>
    <w:rsid w:val="609D1752"/>
    <w:rsid w:val="62120923"/>
    <w:rsid w:val="626B762E"/>
    <w:rsid w:val="63D243C5"/>
    <w:rsid w:val="6544153D"/>
    <w:rsid w:val="68CD37BD"/>
    <w:rsid w:val="6C940C35"/>
    <w:rsid w:val="6D8130F8"/>
    <w:rsid w:val="705F6A24"/>
    <w:rsid w:val="71EF5B86"/>
    <w:rsid w:val="749C7970"/>
    <w:rsid w:val="7880543B"/>
    <w:rsid w:val="7C6C1218"/>
    <w:rsid w:val="7E3F0B7D"/>
    <w:rsid w:val="7F974E5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0"/>
    <w:uiPriority w:val="99"/>
    <w:pPr>
      <w:spacing w:after="0"/>
      <w:ind w:firstLine="420"/>
    </w:pPr>
  </w:style>
  <w:style w:type="paragraph" w:styleId="3">
    <w:name w:val="Body Text"/>
    <w:basedOn w:val="1"/>
    <w:link w:val="9"/>
    <w:uiPriority w:val="99"/>
    <w:pPr>
      <w:spacing w:after="120"/>
    </w:p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iPriority w:val="99"/>
    <w:rPr>
      <w:rFonts w:cs="Times New Roman"/>
      <w:color w:val="0000FF"/>
      <w:u w:val="single"/>
    </w:rPr>
  </w:style>
  <w:style w:type="character" w:customStyle="1" w:styleId="9">
    <w:name w:val="Body Text Char"/>
    <w:basedOn w:val="7"/>
    <w:link w:val="3"/>
    <w:semiHidden/>
    <w:qFormat/>
    <w:locked/>
    <w:uiPriority w:val="99"/>
    <w:rPr>
      <w:rFonts w:ascii="Calibri" w:hAnsi="Calibri" w:cs="Times New Roman"/>
      <w:sz w:val="24"/>
      <w:szCs w:val="24"/>
    </w:rPr>
  </w:style>
  <w:style w:type="character" w:customStyle="1" w:styleId="10">
    <w:name w:val="Body Text First Indent Char"/>
    <w:basedOn w:val="9"/>
    <w:link w:val="2"/>
    <w:semiHidden/>
    <w:locked/>
    <w:uiPriority w:val="99"/>
  </w:style>
  <w:style w:type="character" w:customStyle="1" w:styleId="11">
    <w:name w:val="Footer Char"/>
    <w:basedOn w:val="7"/>
    <w:link w:val="4"/>
    <w:semiHidden/>
    <w:locked/>
    <w:uiPriority w:val="99"/>
    <w:rPr>
      <w:rFonts w:ascii="Calibri" w:hAnsi="Calibri" w:cs="Times New Roman"/>
      <w:sz w:val="18"/>
      <w:szCs w:val="18"/>
    </w:rPr>
  </w:style>
  <w:style w:type="character" w:customStyle="1" w:styleId="12">
    <w:name w:val="Header Char"/>
    <w:basedOn w:val="7"/>
    <w:link w:val="5"/>
    <w:semiHidden/>
    <w:locked/>
    <w:uiPriority w:val="99"/>
    <w:rPr>
      <w:rFonts w:ascii="Calibri" w:hAnsi="Calibri" w:cs="Times New Roman"/>
      <w:sz w:val="18"/>
      <w:szCs w:val="18"/>
    </w:rPr>
  </w:style>
  <w:style w:type="paragraph" w:customStyle="1" w:styleId="13">
    <w:name w:val="WPSOffice手动目录 1"/>
    <w:uiPriority w:val="99"/>
    <w:rPr>
      <w:rFonts w:ascii="Times New Roman" w:hAnsi="Times New Roman" w:eastAsia="宋体" w:cs="Times New Roman"/>
      <w:kern w:val="0"/>
      <w:sz w:val="20"/>
      <w:szCs w:val="20"/>
      <w:lang w:val="en-US" w:eastAsia="zh-CN" w:bidi="ar-SA"/>
    </w:rPr>
  </w:style>
  <w:style w:type="paragraph" w:customStyle="1" w:styleId="14">
    <w:name w:val="WPSOffice手动目录 2"/>
    <w:uiPriority w:val="99"/>
    <w:pPr>
      <w:ind w:left="200" w:leftChars="200"/>
    </w:pPr>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13</Pages>
  <Words>993</Words>
  <Characters>5666</Characters>
  <Lines>0</Lines>
  <Paragraphs>0</Paragraphs>
  <TotalTime>212</TotalTime>
  <ScaleCrop>false</ScaleCrop>
  <LinksUpToDate>false</LinksUpToDate>
  <CharactersWithSpaces>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2022-09-06T11:00:00Z</cp:lastPrinted>
  <dcterms:modified xsi:type="dcterms:W3CDTF">2022-10-19T01:32:51Z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62BE5319E702404588AFDAAFA10DD7DF</vt:lpwstr>
  </property>
</Properties>
</file>