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朔城区住建局（部门）</w:t>
      </w:r>
    </w:p>
    <w:p>
      <w:pPr>
        <w:jc w:val="center"/>
        <w:rPr>
          <w:rFonts w:hint="eastAsia"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w:t>
      </w:r>
    </w:p>
    <w:p>
      <w:pPr>
        <w:jc w:val="center"/>
        <w:rPr>
          <w:rFonts w:ascii="黑体" w:eastAsia="黑体"/>
          <w:sz w:val="44"/>
          <w:szCs w:val="44"/>
        </w:rPr>
      </w:pPr>
      <w:r>
        <w:rPr>
          <w:rFonts w:hint="eastAsia" w:ascii="黑体" w:eastAsia="黑体"/>
          <w:sz w:val="44"/>
          <w:szCs w:val="44"/>
        </w:rPr>
        <w:t>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宋体" w:hAnsi="宋体" w:eastAsia="仿宋_GB2312" w:cs="Times New Roman"/>
          <w:sz w:val="32"/>
          <w:szCs w:val="32"/>
          <w:lang w:val="en-US" w:eastAsia="zh-CN"/>
        </w:rPr>
        <w:t>承担全区城乡规划、建设、管理的责任，并负责对全区建筑业、建材业、房地产业的行业管理。</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本单位内设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个科室，下属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1、朔州市朔城区城镇发展服务中心；2、朔州市朔城区城市管理综合行政执法队；3、朔州市朔城区城镇发展事务中心；4、朔州市朔城区国有土地上房屋征收中心。</w:t>
      </w:r>
    </w:p>
    <w:p>
      <w:pPr>
        <w:spacing w:line="204" w:lineRule="auto"/>
        <w:ind w:firstLine="667"/>
        <w:jc w:val="left"/>
        <w:rPr>
          <w:rFonts w:hint="eastAsia" w:ascii="仿宋" w:hAnsi="仿宋" w:eastAsia="仿宋_GB2312" w:cs="仿宋"/>
          <w:sz w:val="32"/>
          <w:szCs w:val="32"/>
          <w:lang w:eastAsia="zh-CN"/>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住建局</w:t>
      </w:r>
      <w:r>
        <w:rPr>
          <w:rFonts w:hint="eastAsia" w:ascii="宋体" w:hAnsi="宋体" w:eastAsia="仿宋_GB2312" w:cs="Times New Roman"/>
          <w:sz w:val="32"/>
          <w:szCs w:val="32"/>
        </w:rPr>
        <w:t>部门决算包括：本级决算、所属</w:t>
      </w:r>
      <w:r>
        <w:rPr>
          <w:rFonts w:hint="eastAsia" w:ascii="宋体" w:hAnsi="宋体" w:eastAsia="仿宋_GB2312" w:cs="Times New Roman"/>
          <w:sz w:val="32"/>
          <w:szCs w:val="32"/>
          <w:lang w:val="en-US" w:eastAsia="zh-CN"/>
        </w:rPr>
        <w:t>4个下属</w:t>
      </w:r>
      <w:r>
        <w:rPr>
          <w:rFonts w:hint="eastAsia" w:ascii="宋体" w:hAnsi="宋体" w:eastAsia="仿宋_GB2312" w:cs="Times New Roman"/>
          <w:sz w:val="32"/>
          <w:szCs w:val="32"/>
        </w:rPr>
        <w:t>单位决算。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numPr>
          <w:ilvl w:val="0"/>
          <w:numId w:val="3"/>
        </w:num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65906.19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65906.19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20451.15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20451.15</w:t>
      </w:r>
      <w:r>
        <w:rPr>
          <w:rFonts w:hint="eastAsia" w:ascii="宋体" w:hAnsi="宋体" w:eastAsia="仿宋_GB2312" w:cs="Times New Roman"/>
          <w:sz w:val="32"/>
          <w:szCs w:val="32"/>
        </w:rPr>
        <w:t>万元。主要原因是：</w:t>
      </w:r>
      <w:r>
        <w:rPr>
          <w:rFonts w:hint="eastAsia" w:ascii="仿宋_GB2312" w:hAnsi="仿宋_GB2312" w:eastAsia="仿宋_GB2312" w:cs="仿宋_GB2312"/>
          <w:sz w:val="32"/>
          <w:szCs w:val="32"/>
        </w:rPr>
        <w:t>朔州市朔城区国有土地上房屋征收中心</w:t>
      </w:r>
      <w:r>
        <w:rPr>
          <w:rFonts w:hint="eastAsia" w:ascii="仿宋_GB2312" w:hAnsi="仿宋_GB2312" w:eastAsia="仿宋_GB2312" w:cs="仿宋_GB2312"/>
          <w:sz w:val="32"/>
          <w:szCs w:val="32"/>
          <w:lang w:eastAsia="zh-CN"/>
        </w:rPr>
        <w:t>增加</w:t>
      </w:r>
      <w:r>
        <w:rPr>
          <w:rFonts w:hint="eastAsia" w:ascii="宋体" w:hAnsi="宋体" w:eastAsia="仿宋_GB2312" w:cs="Times New Roman"/>
          <w:sz w:val="32"/>
          <w:szCs w:val="32"/>
          <w:lang w:eastAsia="zh-CN"/>
        </w:rPr>
        <w:t>项目</w:t>
      </w:r>
      <w:r>
        <w:rPr>
          <w:rFonts w:hint="eastAsia" w:ascii="宋体" w:hAnsi="宋体" w:eastAsia="仿宋_GB2312" w:cs="Times New Roman"/>
          <w:sz w:val="32"/>
          <w:szCs w:val="32"/>
          <w:lang w:val="en-US" w:eastAsia="zh-CN"/>
        </w:rPr>
        <w:t>(1)张家河、雒儿庄、南泉三村拆迁；（2）老城遗留片区征收；（3）老城征收；（4）朔州市朔城区北旺庄街道张家河棚户区征收补偿安置；（5）退还山西北星实业有限责任公司土地补偿款；（6）老城遗留11处院落征收资金；（7）退还丰泰铝业垫付的土地征收补偿等费用；（8）</w:t>
      </w:r>
      <w:r>
        <w:rPr>
          <w:rFonts w:hint="eastAsia" w:ascii="方正仿宋_GB2312" w:hAnsi="方正仿宋_GB2312" w:eastAsia="方正仿宋_GB2312" w:cs="方正仿宋_GB2312"/>
          <w:sz w:val="32"/>
          <w:szCs w:val="32"/>
          <w:lang w:val="en-US" w:eastAsia="zh-CN"/>
        </w:rPr>
        <w:t>退还山西朔芳亚麻纺织有限公司征地补偿款；（9）退还朔州市万通源房地产开发有限公司代征收费用；（10）朔州市万通源房地产开发有限公司代征收费用；（11）朔城区北旺庄街道张家河村棚户区征收补偿安置项目。（12）准池总部基地项目土地及附着物征收；（13）退还朔州市森杰房地产公司建设同安小区安置被征收户项目；（14）退还朔州市森杰房地产公司征收金三角棚户区垫付的征收资金；（15）朔州市森杰房地产开发有限公司在开发南路东侧拓宽改造垫付资金；（16）朔州市万鑫房地产开发有限公司垫付征收资金；（17）朔州市森杰房地产开发有限公司建设同顺小区退款。</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65331.37</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65319.24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12.13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65843.03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1391.43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64451.6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numPr>
          <w:ilvl w:val="0"/>
          <w:numId w:val="0"/>
        </w:numPr>
        <w:spacing w:line="204" w:lineRule="auto"/>
        <w:ind w:firstLine="640" w:firstLineChars="200"/>
        <w:jc w:val="left"/>
        <w:rPr>
          <w:rFonts w:hint="eastAsia"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65570.16</w:t>
      </w:r>
      <w:r>
        <w:rPr>
          <w:rFonts w:hint="eastAsia" w:ascii="宋体" w:hAnsi="宋体" w:eastAsia="仿宋_GB2312" w:cs="Times New Roman"/>
          <w:sz w:val="32"/>
          <w:szCs w:val="32"/>
        </w:rPr>
        <w:t xml:space="preserve">万元、支出总计65570.16万元。与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20115.12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44.25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2021年较2020年</w:t>
      </w:r>
      <w:r>
        <w:rPr>
          <w:rFonts w:hint="eastAsia" w:ascii="仿宋_GB2312" w:hAnsi="仿宋_GB2312" w:eastAsia="仿宋_GB2312" w:cs="仿宋_GB2312"/>
          <w:sz w:val="32"/>
          <w:szCs w:val="32"/>
        </w:rPr>
        <w:t>朔州市朔城区国有土地上房屋征收中心</w:t>
      </w:r>
      <w:r>
        <w:rPr>
          <w:rFonts w:hint="eastAsia" w:ascii="仿宋_GB2312" w:hAnsi="仿宋_GB2312" w:eastAsia="仿宋_GB2312" w:cs="仿宋_GB2312"/>
          <w:sz w:val="32"/>
          <w:szCs w:val="32"/>
          <w:lang w:eastAsia="zh-CN"/>
        </w:rPr>
        <w:t>增加</w:t>
      </w:r>
      <w:r>
        <w:rPr>
          <w:rFonts w:hint="eastAsia" w:ascii="宋体" w:hAnsi="宋体" w:eastAsia="仿宋_GB2312" w:cs="Times New Roman"/>
          <w:sz w:val="32"/>
          <w:szCs w:val="32"/>
          <w:lang w:eastAsia="zh-CN"/>
        </w:rPr>
        <w:t>项目</w:t>
      </w:r>
      <w:r>
        <w:rPr>
          <w:rFonts w:hint="eastAsia" w:ascii="宋体" w:hAnsi="宋体" w:eastAsia="仿宋_GB2312" w:cs="Times New Roman"/>
          <w:sz w:val="32"/>
          <w:szCs w:val="32"/>
          <w:lang w:val="en-US" w:eastAsia="zh-CN"/>
        </w:rPr>
        <w:t>(1)张家河、雒儿庄、南泉三村拆迁；（2）老城遗留片区征收；（3）老城征收；（4）朔州市朔城区北旺庄街道张家河棚户区征收补偿安置；（5）退还山西北星实业有限责任公司土地补偿款；（6）老城遗留11处院落征收资金；（7）退还丰泰铝业垫付的土地征收补偿等费用；（8）</w:t>
      </w:r>
      <w:r>
        <w:rPr>
          <w:rFonts w:hint="eastAsia" w:ascii="方正仿宋_GB2312" w:hAnsi="方正仿宋_GB2312" w:eastAsia="方正仿宋_GB2312" w:cs="方正仿宋_GB2312"/>
          <w:sz w:val="32"/>
          <w:szCs w:val="32"/>
          <w:lang w:val="en-US" w:eastAsia="zh-CN"/>
        </w:rPr>
        <w:t>退还山西朔芳亚麻纺织有限公司征地补偿款；（9）退还朔州市万通源房地产开发有限公司代征收费用；（10）朔州市万通源房地产开发有限公司代征收费用；（11）朔城区北旺庄街道张家河村棚户区征收补偿安置项目。（12）准池总部基地项目土地及附着物征收；（13）退还朔州市森杰房地产公司建设同安小区安置被征收户项目；（14）退还朔州市森杰房地产公司征收金三角棚户区垫付的征收资金；（15）朔州市森杰房地产开发有限公司在开发南路东侧拓宽改造垫付资金；（16）朔州市万鑫房地产开发有限公司垫付征收资金；（17）朔州市森杰房地产开发有限公司建设同顺小区退款。</w:t>
      </w:r>
    </w:p>
    <w:p>
      <w:pPr>
        <w:spacing w:line="204" w:lineRule="auto"/>
        <w:ind w:firstLine="667"/>
        <w:jc w:val="left"/>
        <w:rPr>
          <w:rFonts w:ascii="宋体" w:hAnsi="宋体" w:eastAsia="仿宋_GB2312" w:cs="Times New Roman"/>
          <w:sz w:val="32"/>
          <w:szCs w:val="32"/>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23997.46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11655.32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2021年较2020年减少工程项目</w:t>
      </w:r>
      <w:r>
        <w:rPr>
          <w:rFonts w:hint="eastAsia" w:ascii="宋体" w:hAnsi="宋体" w:eastAsia="仿宋_GB2312" w:cs="Times New Roman"/>
          <w:sz w:val="32"/>
          <w:szCs w:val="32"/>
          <w:lang w:eastAsia="zh-CN"/>
        </w:rPr>
        <w:t>朔城区鄯阳街道路提质改造工程、朔城区紫金东街道路改造工程、朔州富华燃气有限公司煤改气安装工程、朔城区滨河公园绿化工程项目、朔城区滨河公园景观园建工程、紫金街涵洞挡土墙及恢河南岸污水泵站工程等</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23997.46</w:t>
      </w:r>
      <w:r>
        <w:rPr>
          <w:rFonts w:hint="eastAsia" w:ascii="宋体" w:hAnsi="宋体" w:eastAsia="仿宋_GB2312" w:cs="Times New Roman"/>
          <w:sz w:val="32"/>
          <w:szCs w:val="32"/>
        </w:rPr>
        <w:t>万元，主要用于以下方面：人民防空支出2205.17万元，占</w:t>
      </w:r>
      <w:r>
        <w:rPr>
          <w:rFonts w:hint="eastAsia" w:ascii="宋体" w:hAnsi="宋体" w:eastAsia="仿宋_GB2312" w:cs="Times New Roman"/>
          <w:sz w:val="32"/>
          <w:szCs w:val="32"/>
          <w:lang w:val="en-US" w:eastAsia="zh-CN"/>
        </w:rPr>
        <w:t>9.19</w:t>
      </w:r>
      <w:r>
        <w:rPr>
          <w:rFonts w:hint="eastAsia" w:ascii="宋体" w:hAnsi="宋体" w:eastAsia="仿宋_GB2312" w:cs="Times New Roman"/>
          <w:sz w:val="32"/>
          <w:szCs w:val="32"/>
        </w:rPr>
        <w:t>%；其他科学技术支出0.7万元，占</w:t>
      </w:r>
      <w:r>
        <w:rPr>
          <w:rFonts w:hint="eastAsia" w:ascii="宋体" w:hAnsi="宋体" w:eastAsia="仿宋_GB2312" w:cs="Times New Roman"/>
          <w:sz w:val="32"/>
          <w:szCs w:val="32"/>
          <w:lang w:val="en-US" w:eastAsia="zh-CN"/>
        </w:rPr>
        <w:t>0.01</w:t>
      </w:r>
      <w:r>
        <w:rPr>
          <w:rFonts w:hint="eastAsia" w:ascii="宋体" w:hAnsi="宋体" w:eastAsia="仿宋_GB2312" w:cs="Times New Roman"/>
          <w:sz w:val="32"/>
          <w:szCs w:val="32"/>
        </w:rPr>
        <w:t>%； 死亡抚恤支出90.85万元，占</w:t>
      </w:r>
      <w:r>
        <w:rPr>
          <w:rFonts w:hint="eastAsia" w:ascii="宋体" w:hAnsi="宋体" w:eastAsia="仿宋_GB2312" w:cs="Times New Roman"/>
          <w:sz w:val="32"/>
          <w:szCs w:val="32"/>
          <w:lang w:val="en-US" w:eastAsia="zh-CN"/>
        </w:rPr>
        <w:t>0.38</w:t>
      </w:r>
      <w:r>
        <w:rPr>
          <w:rFonts w:hint="eastAsia" w:ascii="宋体" w:hAnsi="宋体" w:eastAsia="仿宋_GB2312" w:cs="Times New Roman"/>
          <w:sz w:val="32"/>
          <w:szCs w:val="32"/>
        </w:rPr>
        <w:t>%；大气支出7612.64万元，占</w:t>
      </w:r>
      <w:r>
        <w:rPr>
          <w:rFonts w:hint="eastAsia" w:ascii="宋体" w:hAnsi="宋体" w:eastAsia="仿宋_GB2312" w:cs="Times New Roman"/>
          <w:sz w:val="32"/>
          <w:szCs w:val="32"/>
          <w:lang w:val="en-US" w:eastAsia="zh-CN"/>
        </w:rPr>
        <w:t>31.72</w:t>
      </w:r>
      <w:r>
        <w:rPr>
          <w:rFonts w:hint="eastAsia" w:ascii="宋体" w:hAnsi="宋体" w:eastAsia="仿宋_GB2312" w:cs="Times New Roman"/>
          <w:sz w:val="32"/>
          <w:szCs w:val="32"/>
        </w:rPr>
        <w:t>%；行政运行214.46</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0.89</w:t>
      </w:r>
      <w:r>
        <w:rPr>
          <w:rFonts w:hint="eastAsia" w:ascii="宋体" w:hAnsi="宋体" w:eastAsia="仿宋_GB2312" w:cs="Times New Roman"/>
          <w:sz w:val="32"/>
          <w:szCs w:val="32"/>
        </w:rPr>
        <w:t>%；一般行政管理事务68.36</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0.28</w:t>
      </w:r>
      <w:r>
        <w:rPr>
          <w:rFonts w:hint="eastAsia" w:ascii="宋体" w:hAnsi="宋体" w:eastAsia="仿宋_GB2312" w:cs="Times New Roman"/>
          <w:sz w:val="32"/>
          <w:szCs w:val="32"/>
        </w:rPr>
        <w:t>%；机关服务1654.21</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6.89</w:t>
      </w:r>
      <w:r>
        <w:rPr>
          <w:rFonts w:hint="eastAsia" w:ascii="宋体" w:hAnsi="宋体" w:eastAsia="仿宋_GB2312" w:cs="Times New Roman"/>
          <w:sz w:val="32"/>
          <w:szCs w:val="32"/>
        </w:rPr>
        <w:t>%；其他城乡社区公共设施支出7652.27</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31.89</w:t>
      </w:r>
      <w:r>
        <w:rPr>
          <w:rFonts w:hint="eastAsia" w:ascii="宋体" w:hAnsi="宋体" w:eastAsia="仿宋_GB2312" w:cs="Times New Roman"/>
          <w:sz w:val="32"/>
          <w:szCs w:val="32"/>
        </w:rPr>
        <w:t>%；棚户区改造1825.2</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7.61</w:t>
      </w:r>
      <w:r>
        <w:rPr>
          <w:rFonts w:hint="eastAsia" w:ascii="宋体" w:hAnsi="宋体" w:eastAsia="仿宋_GB2312" w:cs="Times New Roman"/>
          <w:sz w:val="32"/>
          <w:szCs w:val="32"/>
        </w:rPr>
        <w:t>%；农村危房改造192.92</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0.8</w:t>
      </w:r>
      <w:r>
        <w:rPr>
          <w:rFonts w:hint="eastAsia" w:ascii="宋体" w:hAnsi="宋体" w:eastAsia="仿宋_GB2312" w:cs="Times New Roman"/>
          <w:sz w:val="32"/>
          <w:szCs w:val="32"/>
        </w:rPr>
        <w:t>%；保障性住房租金补贴100</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0.42</w:t>
      </w:r>
      <w:r>
        <w:rPr>
          <w:rFonts w:hint="eastAsia" w:ascii="宋体" w:hAnsi="宋体" w:eastAsia="仿宋_GB2312" w:cs="Times New Roman"/>
          <w:sz w:val="32"/>
          <w:szCs w:val="32"/>
        </w:rPr>
        <w:t>%；老旧小区改造2330.37</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9.71</w:t>
      </w:r>
      <w:r>
        <w:rPr>
          <w:rFonts w:hint="eastAsia" w:ascii="宋体" w:hAnsi="宋体" w:eastAsia="仿宋_GB2312" w:cs="Times New Roman"/>
          <w:sz w:val="32"/>
          <w:szCs w:val="32"/>
        </w:rPr>
        <w:t>%；其他城乡社区住宅支出29.83</w:t>
      </w:r>
      <w:r>
        <w:rPr>
          <w:rFonts w:hint="eastAsia" w:ascii="宋体" w:hAnsi="宋体" w:eastAsia="仿宋_GB2312" w:cs="Times New Roman"/>
          <w:sz w:val="32"/>
          <w:szCs w:val="32"/>
          <w:lang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0.12</w:t>
      </w:r>
      <w:r>
        <w:rPr>
          <w:rFonts w:hint="eastAsia" w:ascii="宋体" w:hAnsi="宋体" w:eastAsia="仿宋_GB2312" w:cs="Times New Roman"/>
          <w:sz w:val="32"/>
          <w:szCs w:val="32"/>
        </w:rPr>
        <w:t>%；其他支出20.5万元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0.09</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lang w:val="en-US" w:eastAsia="zh-CN"/>
        </w:rPr>
        <w:t>23997.14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23997.14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1385.88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1327.73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1274.13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53.6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58.14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58.14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1.85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与同年预算相比增加减少</w:t>
      </w:r>
      <w:r>
        <w:rPr>
          <w:rFonts w:hint="eastAsia" w:ascii="宋体" w:hAnsi="宋体" w:eastAsia="仿宋_GB2312" w:cs="Times New Roman"/>
          <w:sz w:val="32"/>
          <w:szCs w:val="32"/>
          <w:lang w:val="en-US" w:eastAsia="zh-CN"/>
        </w:rPr>
        <w:t>0.35万元，原因是单位外出活动较上年减少</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0.33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单位外出活动较上年减少</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1.85</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0.33</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单位外出活动较上年减少</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年政府性基金预算财政拨款本年收入41322.1万元，本年支出41572.7万元。具体支出情况如下:</w:t>
      </w:r>
    </w:p>
    <w:p>
      <w:pPr>
        <w:numPr>
          <w:ilvl w:val="0"/>
          <w:numId w:val="5"/>
        </w:num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征地和拆迁补偿支出24986.39万元，主要是用于</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住建局本级</w:t>
      </w:r>
      <w:r>
        <w:rPr>
          <w:rFonts w:hint="eastAsia" w:ascii="宋体" w:hAnsi="宋体" w:eastAsia="仿宋_GB2312" w:cs="Times New Roman"/>
          <w:sz w:val="32"/>
          <w:szCs w:val="32"/>
        </w:rPr>
        <w:t>返还朔州市再生能源热力有限公司土地款</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lang w:eastAsia="zh-CN"/>
        </w:rPr>
        <w:t>国有土地上房屋征收中心城区拆迁安置补偿支出：</w:t>
      </w:r>
      <w:r>
        <w:rPr>
          <w:rFonts w:hint="eastAsia" w:ascii="宋体" w:hAnsi="宋体" w:eastAsia="仿宋_GB2312" w:cs="Times New Roman"/>
          <w:sz w:val="32"/>
          <w:szCs w:val="32"/>
          <w:lang w:val="en-US" w:eastAsia="zh-CN"/>
        </w:rPr>
        <w:t>(1)张家河、雒儿庄、南泉三村拆迁支出；（2）老城遗留片区征收资金；（3）老城征收资金；（4）朔州市朔城区北旺庄街道张家河棚户区征收补偿安置；（5）退还山西北星实业有限责任公司土地补偿款；（6）拨付老城遗留11处院落征收资金；（7）退还丰泰铝业垫付的土地征收补偿等费用；（8）</w:t>
      </w:r>
      <w:r>
        <w:rPr>
          <w:rFonts w:hint="eastAsia" w:ascii="方正仿宋_GB2312" w:hAnsi="方正仿宋_GB2312" w:eastAsia="方正仿宋_GB2312" w:cs="方正仿宋_GB2312"/>
          <w:sz w:val="32"/>
          <w:szCs w:val="32"/>
          <w:lang w:val="en-US" w:eastAsia="zh-CN"/>
        </w:rPr>
        <w:t>退还山西朔芳亚麻纺织有限公司征地补偿款；（9）退还朔州市万通源房地产开发有限公司代征收费用；（10）拨付朔州市万通源房地产开发有限公司代征收费用；（11）朔城区北旺庄街道张家河村棚户区征收补偿安置项目</w:t>
      </w:r>
      <w:r>
        <w:rPr>
          <w:rFonts w:hint="eastAsia" w:ascii="宋体" w:hAnsi="宋体" w:eastAsia="仿宋_GB2312" w:cs="Times New Roman"/>
          <w:sz w:val="32"/>
          <w:szCs w:val="32"/>
        </w:rPr>
        <w:t>。</w:t>
      </w:r>
    </w:p>
    <w:p>
      <w:pPr>
        <w:numPr>
          <w:ilvl w:val="0"/>
          <w:numId w:val="3"/>
        </w:numPr>
        <w:spacing w:line="204" w:lineRule="auto"/>
        <w:ind w:firstLine="667"/>
        <w:jc w:val="left"/>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其他国有土地使用权出让收入安排的支出14813.71万元，</w:t>
      </w:r>
      <w:r>
        <w:rPr>
          <w:rFonts w:hint="eastAsia" w:ascii="宋体" w:hAnsi="宋体" w:eastAsia="仿宋_GB2312" w:cs="Times New Roman"/>
          <w:sz w:val="32"/>
          <w:szCs w:val="32"/>
        </w:rPr>
        <w:t>主要是用于</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1、住建局本级支出</w:t>
      </w:r>
      <w:r>
        <w:rPr>
          <w:rFonts w:hint="eastAsia" w:ascii="宋体" w:hAnsi="宋体" w:eastAsia="仿宋_GB2312" w:cs="Times New Roman"/>
          <w:sz w:val="32"/>
          <w:szCs w:val="32"/>
        </w:rPr>
        <w:t>朔城区鄯阳街下穿张辽南路立交工程款</w:t>
      </w:r>
      <w:r>
        <w:rPr>
          <w:rFonts w:hint="eastAsia" w:ascii="宋体" w:hAnsi="宋体" w:eastAsia="仿宋_GB2312" w:cs="Times New Roman"/>
          <w:sz w:val="32"/>
          <w:szCs w:val="32"/>
          <w:lang w:eastAsia="zh-CN"/>
        </w:rPr>
        <w:t>、朔州市烟草专卖局机关办公楼及办公南楼安置楼房购房资金、紫金东街道路工程、朔城区口袋公园绿化工程、城区亮化工程、滨河公园园建工程、市政府家属院小区改造工程、厚德园小区</w:t>
      </w:r>
      <w:r>
        <w:rPr>
          <w:rFonts w:hint="eastAsia" w:ascii="宋体" w:hAnsi="宋体" w:eastAsia="仿宋_GB2312" w:cs="Times New Roman"/>
          <w:sz w:val="32"/>
          <w:szCs w:val="32"/>
          <w:lang w:val="en-US" w:eastAsia="zh-CN"/>
        </w:rPr>
        <w:t>D、E、F区阳台封堵及加砌花池（排污管保温）工程项目和家和苑拆迁安置小区室外配套工程项目</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lang w:eastAsia="zh-CN"/>
        </w:rPr>
        <w:t>国有土地上房屋征收中心支出</w:t>
      </w:r>
      <w:r>
        <w:rPr>
          <w:rFonts w:hint="eastAsia" w:ascii="方正仿宋_GB2312" w:hAnsi="方正仿宋_GB2312" w:eastAsia="方正仿宋_GB2312" w:cs="方正仿宋_GB2312"/>
          <w:sz w:val="32"/>
          <w:szCs w:val="32"/>
          <w:lang w:val="en-US" w:eastAsia="zh-CN"/>
        </w:rPr>
        <w:t>准池总部基地项目土地及附着物征收资金、退还朔州市森杰房地产公司建设同安小区安置被征收户、退还朔州市森杰房地产公司征收金三角棚户区垫付的征收资金、朔州市森杰房地产开发有限公司在开发南路东侧拓宽改造垫付资金、（5）朔州市万鑫房地产开发有限公司垫付征收资金、朔州市森杰房地产开发有限公司建设同顺小区退款。</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3、其他城市基础设施配套费安排的支出262万元，</w:t>
      </w:r>
      <w:r>
        <w:rPr>
          <w:rFonts w:hint="eastAsia" w:ascii="宋体" w:hAnsi="宋体" w:eastAsia="仿宋_GB2312" w:cs="Times New Roman"/>
          <w:sz w:val="32"/>
          <w:szCs w:val="32"/>
        </w:rPr>
        <w:t>主要是用于口袋公园建设</w:t>
      </w:r>
      <w:r>
        <w:rPr>
          <w:rFonts w:hint="eastAsia" w:ascii="宋体" w:hAnsi="宋体" w:eastAsia="仿宋_GB2312" w:cs="Times New Roman"/>
          <w:sz w:val="32"/>
          <w:szCs w:val="32"/>
          <w:lang w:eastAsia="zh-CN"/>
        </w:rPr>
        <w:t>。</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4、用于文化事业的彩票公益金支出260万元，</w:t>
      </w:r>
      <w:r>
        <w:rPr>
          <w:rFonts w:hint="eastAsia" w:ascii="宋体" w:hAnsi="宋体" w:eastAsia="仿宋_GB2312" w:cs="Times New Roman"/>
          <w:sz w:val="32"/>
          <w:szCs w:val="32"/>
        </w:rPr>
        <w:t>主要是用于2021年图书馆、档案馆公共文化建设项目</w:t>
      </w:r>
      <w:r>
        <w:rPr>
          <w:rFonts w:hint="eastAsia" w:ascii="宋体" w:hAnsi="宋体" w:eastAsia="仿宋_GB2312" w:cs="Times New Roman"/>
          <w:sz w:val="32"/>
          <w:szCs w:val="32"/>
          <w:lang w:eastAsia="zh-CN"/>
        </w:rPr>
        <w:t>。</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5、城镇老旧小区改造支出1250.6万元，</w:t>
      </w:r>
      <w:r>
        <w:rPr>
          <w:rFonts w:hint="eastAsia" w:ascii="宋体" w:hAnsi="宋体" w:eastAsia="仿宋_GB2312" w:cs="Times New Roman"/>
          <w:sz w:val="32"/>
          <w:szCs w:val="32"/>
        </w:rPr>
        <w:t>主要是用于老旧小区周边提质改造</w:t>
      </w:r>
      <w:r>
        <w:rPr>
          <w:rFonts w:hint="eastAsia" w:ascii="宋体" w:hAnsi="宋体" w:eastAsia="仿宋_GB2312" w:cs="Times New Roman"/>
          <w:sz w:val="32"/>
          <w:szCs w:val="32"/>
          <w:lang w:eastAsia="zh-CN"/>
        </w:rPr>
        <w:t>、中心城区老旧片区改造和老旧小区综合整治。</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hint="eastAsia" w:ascii="宋体" w:hAnsi="宋体" w:eastAsia="仿宋_GB2312" w:cs="Times New Roman"/>
          <w:sz w:val="32"/>
          <w:szCs w:val="32"/>
        </w:rPr>
      </w:pPr>
      <w:r>
        <w:rPr>
          <w:rFonts w:hint="eastAsia" w:ascii="宋体" w:hAnsi="宋体" w:eastAsia="仿宋_GB2312" w:cs="Times New Roman"/>
          <w:sz w:val="32"/>
          <w:szCs w:val="32"/>
          <w:lang w:eastAsia="zh-CN"/>
        </w:rPr>
        <w:t>部门</w:t>
      </w:r>
      <w:r>
        <w:rPr>
          <w:rFonts w:hint="eastAsia" w:ascii="宋体" w:hAnsi="宋体" w:eastAsia="仿宋_GB2312" w:cs="Times New Roman"/>
          <w:sz w:val="32"/>
          <w:szCs w:val="32"/>
        </w:rPr>
        <w:t>机关运行经费支出13.58万元，比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18.46</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57.62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单位节支</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w:t>
      </w:r>
      <w:r>
        <w:rPr>
          <w:rFonts w:hint="eastAsia" w:ascii="宋体" w:hAnsi="宋体" w:eastAsia="仿宋_GB2312" w:cs="Times New Roman"/>
          <w:sz w:val="32"/>
          <w:szCs w:val="32"/>
          <w:lang w:eastAsia="zh-CN"/>
        </w:rPr>
        <w:t>部门</w:t>
      </w:r>
      <w:r>
        <w:rPr>
          <w:rFonts w:hint="eastAsia" w:ascii="宋体" w:hAnsi="宋体" w:eastAsia="仿宋_GB2312" w:cs="Times New Roman"/>
          <w:sz w:val="32"/>
          <w:szCs w:val="32"/>
        </w:rPr>
        <w:t>政府采购总额</w:t>
      </w:r>
      <w:r>
        <w:rPr>
          <w:rFonts w:hint="eastAsia" w:ascii="仿宋" w:hAnsi="仿宋" w:eastAsia="仿宋" w:cs="仿宋"/>
          <w:spacing w:val="4"/>
          <w:sz w:val="32"/>
          <w:szCs w:val="32"/>
        </w:rPr>
        <w:t>85.83</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85.83</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辆、特 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6"/>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w:t>
      </w:r>
      <w:r>
        <w:rPr>
          <w:rFonts w:hint="eastAsia" w:ascii="宋体" w:hAnsi="宋体" w:eastAsia="仿宋_GB2312" w:cs="Times New Roman"/>
          <w:sz w:val="32"/>
          <w:szCs w:val="32"/>
          <w:lang w:eastAsia="zh-CN"/>
        </w:rPr>
        <w:t>部门</w:t>
      </w:r>
      <w:r>
        <w:rPr>
          <w:rFonts w:hint="eastAsia" w:ascii="宋体" w:hAnsi="宋体" w:eastAsia="仿宋_GB2312" w:cs="Times New Roman"/>
          <w:sz w:val="32"/>
          <w:szCs w:val="32"/>
        </w:rPr>
        <w:t>实行绩效目标管理的项目</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14069.81</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 xml:space="preserve">   量入为出，达到收支平衡，实事求是，力保正常运转，定期分析，提高绩效。</w:t>
      </w:r>
    </w:p>
    <w:p>
      <w:pPr>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 xml:space="preserve">   健全财务管理制度，精打细算，提高资金使用效益。重大经费支出实行一事一议，集体运用评价结果，收支平衡。</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0032"/>
    <w:multiLevelType w:val="singleLevel"/>
    <w:tmpl w:val="02140032"/>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abstractNum w:abstractNumId="5">
    <w:nsid w:val="7D9BDF28"/>
    <w:multiLevelType w:val="singleLevel"/>
    <w:tmpl w:val="7D9BDF28"/>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ZTMyZGJhYThlNWJmNTc0MzJhOGNjYTk4YmMzMjEifQ=="/>
  </w:docVars>
  <w:rsids>
    <w:rsidRoot w:val="7E3F0B7D"/>
    <w:rsid w:val="000014A7"/>
    <w:rsid w:val="00052B5B"/>
    <w:rsid w:val="00774AFB"/>
    <w:rsid w:val="00E4217F"/>
    <w:rsid w:val="039C5FBF"/>
    <w:rsid w:val="0BAB6889"/>
    <w:rsid w:val="0E115DFD"/>
    <w:rsid w:val="11D27EAE"/>
    <w:rsid w:val="19A969FD"/>
    <w:rsid w:val="1A0F13EE"/>
    <w:rsid w:val="1BBF38BA"/>
    <w:rsid w:val="20D97C1B"/>
    <w:rsid w:val="23553F43"/>
    <w:rsid w:val="252954F7"/>
    <w:rsid w:val="277538F2"/>
    <w:rsid w:val="299664C8"/>
    <w:rsid w:val="2E4E2CB7"/>
    <w:rsid w:val="3F28132A"/>
    <w:rsid w:val="49221B6F"/>
    <w:rsid w:val="521B10CC"/>
    <w:rsid w:val="550D0743"/>
    <w:rsid w:val="6544153D"/>
    <w:rsid w:val="68B33027"/>
    <w:rsid w:val="68CD37BD"/>
    <w:rsid w:val="6C940C35"/>
    <w:rsid w:val="7120350B"/>
    <w:rsid w:val="74D705FA"/>
    <w:rsid w:val="74FB444D"/>
    <w:rsid w:val="77560252"/>
    <w:rsid w:val="7C6E2836"/>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4718</Words>
  <Characters>5204</Characters>
  <Lines>5</Lines>
  <Paragraphs>7</Paragraphs>
  <TotalTime>2</TotalTime>
  <ScaleCrop>false</ScaleCrop>
  <LinksUpToDate>false</LinksUpToDate>
  <CharactersWithSpaces>5269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2022-10-20T03:07:07Z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F6E89F8EAB2F435A82C453523E17C55D</vt:lpwstr>
  </property>
</Properties>
</file>