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朔州市朔城区城镇发展服务中心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7"/>
      </w:pPr>
    </w:p>
    <w:p>
      <w:pPr>
        <w:spacing w:line="360" w:lineRule="auto"/>
        <w:jc w:val="center"/>
        <w:rPr>
          <w:rFonts w:ascii="宋体" w:hAnsi="宋体" w:cs="宋体"/>
          <w:sz w:val="44"/>
          <w:szCs w:val="44"/>
        </w:rPr>
      </w:pPr>
      <w:r>
        <w:rPr>
          <w:rFonts w:hint="eastAsia" w:ascii="宋体" w:hAnsi="宋体" w:cs="宋体"/>
          <w:sz w:val="44"/>
          <w:szCs w:val="44"/>
        </w:rPr>
        <w:t>目录</w:t>
      </w:r>
    </w:p>
    <w:p>
      <w:pPr>
        <w:pStyle w:val="10"/>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11"/>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11"/>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10"/>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10"/>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11"/>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10"/>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spacing w:line="630" w:lineRule="exact"/>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参与拟订全区城镇发展建设规划和年度计划；负责城镇发展建设的分析统计、发展研究等工作，负责全区住房和城乡建设系统基础数据的收集、管理和报送工作。</w:t>
      </w:r>
    </w:p>
    <w:p>
      <w:pPr>
        <w:spacing w:line="630" w:lineRule="exact"/>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参与区住房和城乡建设系统诚信体系建设；负责建筑行业新技术、新产品、新材料、新设备的推广和应用工作。</w:t>
      </w:r>
    </w:p>
    <w:p>
      <w:pPr>
        <w:spacing w:line="630" w:lineRule="exact"/>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负责全区改善城市人居环境相关工作；为海绵城市、韧性城市工程建设和城市更新行动提供服务保障与技术支持；为全区历史文化名镇、名村保护和修缮等提供相关服务。</w:t>
      </w:r>
    </w:p>
    <w:p>
      <w:pPr>
        <w:spacing w:line="630" w:lineRule="exact"/>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4、</w:t>
      </w:r>
      <w:r>
        <w:rPr>
          <w:rFonts w:hint="eastAsia" w:ascii="宋体" w:hAnsi="宋体" w:eastAsia="仿宋_GB2312" w:cs="Times New Roman"/>
          <w:sz w:val="32"/>
          <w:szCs w:val="32"/>
        </w:rPr>
        <w:t>负责全区城乡建设防灾减灾规划实施的相关工作；为全市各类房屋建筑及其附属设施和城市市政设施建设工程抗震设防、加固改造提供技术服务。</w:t>
      </w:r>
    </w:p>
    <w:p>
      <w:pPr>
        <w:spacing w:line="630" w:lineRule="exact"/>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5、</w:t>
      </w:r>
      <w:r>
        <w:rPr>
          <w:rFonts w:hint="eastAsia" w:ascii="宋体" w:hAnsi="宋体" w:eastAsia="仿宋_GB2312" w:cs="Times New Roman"/>
          <w:sz w:val="32"/>
          <w:szCs w:val="32"/>
        </w:rPr>
        <w:t>为全区建筑节能、绿色建筑及装配式建筑推广等工作提供相关服务和技术辅助。</w:t>
      </w:r>
    </w:p>
    <w:p>
      <w:pPr>
        <w:spacing w:line="630" w:lineRule="exact"/>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6、</w:t>
      </w:r>
      <w:r>
        <w:rPr>
          <w:rFonts w:hint="eastAsia" w:ascii="宋体" w:hAnsi="宋体" w:eastAsia="仿宋_GB2312" w:cs="Times New Roman"/>
          <w:sz w:val="32"/>
          <w:szCs w:val="32"/>
        </w:rPr>
        <w:t>负责受理市民对住房和城乡建设系统事务的咨询、投诉和建议。</w:t>
      </w:r>
    </w:p>
    <w:p>
      <w:pPr>
        <w:spacing w:line="630" w:lineRule="exact"/>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7、</w:t>
      </w:r>
      <w:r>
        <w:rPr>
          <w:rFonts w:hint="eastAsia" w:ascii="宋体" w:hAnsi="宋体" w:eastAsia="仿宋_GB2312" w:cs="Times New Roman"/>
          <w:sz w:val="32"/>
          <w:szCs w:val="32"/>
        </w:rPr>
        <w:t>指导城镇开发边界范围内的节约用水管理工作。</w:t>
      </w:r>
    </w:p>
    <w:p>
      <w:pPr>
        <w:spacing w:line="630" w:lineRule="exact"/>
        <w:ind w:firstLine="640" w:firstLineChars="200"/>
        <w:rPr>
          <w:rFonts w:hint="eastAsia" w:ascii="宋体" w:hAnsi="宋体" w:eastAsia="仿宋_GB2312" w:cs="Times New Roman"/>
          <w:sz w:val="32"/>
          <w:szCs w:val="32"/>
        </w:rPr>
      </w:pPr>
      <w:r>
        <w:rPr>
          <w:rFonts w:hint="eastAsia" w:ascii="宋体" w:hAnsi="宋体" w:eastAsia="仿宋_GB2312" w:cs="Times New Roman"/>
          <w:sz w:val="32"/>
          <w:szCs w:val="32"/>
          <w:lang w:val="en-US" w:eastAsia="zh-CN"/>
        </w:rPr>
        <w:t>8、</w:t>
      </w:r>
      <w:r>
        <w:rPr>
          <w:rFonts w:hint="eastAsia" w:ascii="宋体" w:hAnsi="宋体" w:eastAsia="仿宋_GB2312" w:cs="Times New Roman"/>
          <w:sz w:val="32"/>
          <w:szCs w:val="32"/>
        </w:rPr>
        <w:t>完成区住建局机关交办的其他工作。</w:t>
      </w:r>
    </w:p>
    <w:p>
      <w:pPr>
        <w:spacing w:line="204" w:lineRule="auto"/>
        <w:ind w:firstLine="667"/>
        <w:jc w:val="left"/>
        <w:rPr>
          <w:rFonts w:ascii="仿宋" w:hAnsi="仿宋" w:eastAsia="仿宋" w:cs="仿宋"/>
          <w:sz w:val="32"/>
          <w:szCs w:val="32"/>
        </w:rPr>
      </w:pPr>
      <w:r>
        <w:rPr>
          <w:rFonts w:hint="eastAsia" w:ascii="宋体" w:hAnsi="宋体" w:eastAsia="仿宋_GB2312" w:cs="Times New Roman"/>
          <w:sz w:val="32"/>
          <w:szCs w:val="32"/>
        </w:rPr>
        <w:t xml:space="preserve"> </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pPr>
      <w:r>
        <w:rPr>
          <w:rFonts w:hint="eastAsia" w:ascii="宋体" w:hAnsi="宋体" w:eastAsia="仿宋_GB2312"/>
          <w:sz w:val="32"/>
          <w:szCs w:val="32"/>
        </w:rPr>
        <w:t>本单位内设</w:t>
      </w:r>
      <w:r>
        <w:rPr>
          <w:rFonts w:hint="eastAsia" w:ascii="宋体" w:hAnsi="宋体" w:eastAsia="仿宋_GB2312"/>
          <w:sz w:val="32"/>
          <w:szCs w:val="32"/>
          <w:lang w:val="en-US" w:eastAsia="zh-CN"/>
        </w:rPr>
        <w:t>9</w:t>
      </w:r>
      <w:r>
        <w:rPr>
          <w:rFonts w:hint="eastAsia" w:ascii="宋体" w:hAnsi="宋体" w:eastAsia="仿宋_GB2312"/>
          <w:sz w:val="32"/>
          <w:szCs w:val="32"/>
        </w:rPr>
        <w:t>个科室，</w:t>
      </w:r>
      <w:r>
        <w:rPr>
          <w:rFonts w:hint="eastAsia" w:ascii="仿宋_GB2312" w:eastAsia="仿宋_GB2312"/>
          <w:bCs/>
          <w:sz w:val="32"/>
          <w:szCs w:val="32"/>
        </w:rPr>
        <w:t>我单位为二级单位，无下属单位。</w:t>
      </w:r>
      <w:r>
        <w:rPr>
          <w:rFonts w:hint="eastAsia" w:ascii="宋体" w:hAnsi="宋体" w:eastAsia="仿宋_GB2312"/>
          <w:sz w:val="32"/>
          <w:szCs w:val="32"/>
        </w:rPr>
        <w:t>从预算单位构成看，朔城区</w:t>
      </w:r>
      <w:r>
        <w:rPr>
          <w:rFonts w:hint="eastAsia" w:ascii="宋体" w:hAnsi="宋体" w:eastAsia="仿宋_GB2312"/>
          <w:sz w:val="32"/>
          <w:szCs w:val="32"/>
          <w:lang w:eastAsia="zh-CN"/>
        </w:rPr>
        <w:t>城镇发展</w:t>
      </w:r>
      <w:r>
        <w:rPr>
          <w:rFonts w:hint="eastAsia" w:ascii="宋体" w:hAnsi="宋体" w:eastAsia="仿宋_GB2312"/>
          <w:sz w:val="32"/>
          <w:szCs w:val="32"/>
        </w:rPr>
        <w:t>服务中心单位部门决算包括：本级决算</w:t>
      </w:r>
      <w:r>
        <w:rPr>
          <w:rFonts w:hint="eastAsia" w:ascii="宋体" w:hAnsi="宋体" w:eastAsia="仿宋_GB2312" w:cs="Times New Roman"/>
          <w:sz w:val="32"/>
          <w:szCs w:val="32"/>
        </w:rPr>
        <w:t>。</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计1594.55万元 、 支 出 总 计1594.55万元。与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年相比,收入总计增加1594.55万元，支出总计增加1594.55万元。主要原因是：</w:t>
      </w:r>
      <w:r>
        <w:rPr>
          <w:rFonts w:hint="eastAsia" w:ascii="宋体" w:hAnsi="宋体" w:eastAsia="仿宋_GB2312" w:cs="Times New Roman"/>
          <w:sz w:val="32"/>
          <w:szCs w:val="32"/>
          <w:lang w:eastAsia="zh-CN"/>
        </w:rPr>
        <w:t>新成立单位，</w:t>
      </w:r>
      <w:r>
        <w:rPr>
          <w:rFonts w:hint="eastAsia" w:ascii="宋体" w:hAnsi="宋体" w:eastAsia="仿宋_GB2312" w:cs="Times New Roman"/>
          <w:sz w:val="32"/>
          <w:szCs w:val="32"/>
          <w:lang w:val="en-US" w:eastAsia="zh-CN"/>
        </w:rPr>
        <w:t>2020年无决算数据。</w:t>
      </w:r>
      <w:bookmarkStart w:id="22" w:name="_GoBack"/>
      <w:bookmarkEnd w:id="22"/>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本年收入合计1594.55万元，其中：财政拨款收入1594.55万元;上级补助收入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本年支出合计1594.55万元 ，其中：基本支出</w:t>
      </w:r>
      <w:r>
        <w:rPr>
          <w:rFonts w:hint="eastAsia" w:ascii="仿宋" w:hAnsi="仿宋" w:eastAsia="仿宋" w:cs="仿宋"/>
          <w:sz w:val="32"/>
          <w:szCs w:val="32"/>
        </w:rPr>
        <w:t>673.77</w:t>
      </w:r>
      <w:r>
        <w:rPr>
          <w:rFonts w:hint="eastAsia" w:ascii="宋体" w:hAnsi="宋体" w:eastAsia="仿宋_GB2312" w:cs="Times New Roman"/>
          <w:sz w:val="32"/>
          <w:szCs w:val="32"/>
        </w:rPr>
        <w:t>万元 ；项目支出</w:t>
      </w:r>
      <w:r>
        <w:rPr>
          <w:rFonts w:hint="eastAsia" w:ascii="仿宋" w:hAnsi="仿宋" w:eastAsia="仿宋" w:cs="仿宋"/>
          <w:sz w:val="32"/>
          <w:szCs w:val="32"/>
        </w:rPr>
        <w:t>920.78</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rPr>
        <w:t>1594.55</w:t>
      </w:r>
      <w:r>
        <w:rPr>
          <w:rFonts w:hint="eastAsia" w:ascii="宋体" w:hAnsi="宋体" w:eastAsia="仿宋_GB2312" w:cs="Times New Roman"/>
          <w:sz w:val="32"/>
          <w:szCs w:val="32"/>
        </w:rPr>
        <w:t xml:space="preserve">万元、支出总计1594.55万元。与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年相比，财政拨款收入总计增加1594.55万元。主要原因是：</w:t>
      </w:r>
      <w:r>
        <w:rPr>
          <w:rFonts w:hint="eastAsia" w:ascii="宋体" w:hAnsi="宋体" w:eastAsia="仿宋_GB2312" w:cs="Times New Roman"/>
          <w:sz w:val="32"/>
          <w:szCs w:val="32"/>
          <w:lang w:eastAsia="zh-CN"/>
        </w:rPr>
        <w:t>新成立单位，</w:t>
      </w:r>
      <w:r>
        <w:rPr>
          <w:rFonts w:hint="eastAsia" w:ascii="宋体" w:hAnsi="宋体" w:eastAsia="仿宋_GB2312" w:cs="Times New Roman"/>
          <w:sz w:val="32"/>
          <w:szCs w:val="32"/>
          <w:lang w:val="en-US" w:eastAsia="zh-CN"/>
        </w:rPr>
        <w:t>2020年无决算数据。</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rPr>
        <w:t>1594.55</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年相比，财政拨款支出增加1594.55万元。主要原因是：</w:t>
      </w:r>
      <w:r>
        <w:rPr>
          <w:rFonts w:hint="eastAsia" w:ascii="宋体" w:hAnsi="宋体" w:eastAsia="仿宋_GB2312" w:cs="Times New Roman"/>
          <w:sz w:val="32"/>
          <w:szCs w:val="32"/>
          <w:lang w:eastAsia="zh-CN"/>
        </w:rPr>
        <w:t>新成立单位，</w:t>
      </w:r>
      <w:r>
        <w:rPr>
          <w:rFonts w:hint="eastAsia" w:ascii="宋体" w:hAnsi="宋体" w:eastAsia="仿宋_GB2312" w:cs="Times New Roman"/>
          <w:sz w:val="32"/>
          <w:szCs w:val="32"/>
          <w:lang w:val="en-US" w:eastAsia="zh-CN"/>
        </w:rPr>
        <w:t>2020年无决算数据。</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年度财政拨款支出1594.55万元，主要用于以下方面：死亡抚恤支出18.11万元，占</w:t>
      </w:r>
      <w:r>
        <w:rPr>
          <w:rFonts w:hint="eastAsia" w:ascii="宋体" w:hAnsi="宋体" w:eastAsia="仿宋_GB2312" w:cs="Times New Roman"/>
          <w:sz w:val="32"/>
          <w:szCs w:val="32"/>
          <w:lang w:val="en-US" w:eastAsia="zh-CN"/>
        </w:rPr>
        <w:t>1.14</w:t>
      </w:r>
      <w:r>
        <w:rPr>
          <w:rFonts w:hint="eastAsia" w:ascii="宋体" w:hAnsi="宋体" w:eastAsia="仿宋_GB2312" w:cs="Times New Roman"/>
          <w:sz w:val="32"/>
          <w:szCs w:val="32"/>
        </w:rPr>
        <w:t>%；机关服务支出673.77万元，占</w:t>
      </w:r>
      <w:r>
        <w:rPr>
          <w:rFonts w:hint="eastAsia" w:ascii="宋体" w:hAnsi="宋体" w:eastAsia="仿宋_GB2312" w:cs="Times New Roman"/>
          <w:sz w:val="32"/>
          <w:szCs w:val="32"/>
          <w:lang w:val="en-US" w:eastAsia="zh-CN"/>
        </w:rPr>
        <w:t>42.25</w:t>
      </w:r>
      <w:r>
        <w:rPr>
          <w:rFonts w:hint="eastAsia" w:ascii="宋体" w:hAnsi="宋体" w:eastAsia="仿宋_GB2312" w:cs="Times New Roman"/>
          <w:sz w:val="32"/>
          <w:szCs w:val="32"/>
        </w:rPr>
        <w:t>%；其他城乡社区公共设施支出支出902.67万元，占</w:t>
      </w:r>
      <w:r>
        <w:rPr>
          <w:rFonts w:hint="eastAsia" w:ascii="宋体" w:hAnsi="宋体" w:eastAsia="仿宋_GB2312" w:cs="Times New Roman"/>
          <w:sz w:val="32"/>
          <w:szCs w:val="32"/>
          <w:lang w:val="en-US" w:eastAsia="zh-CN"/>
        </w:rPr>
        <w:t>56.61</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年度一般公共预算财政拨款支出当年调整预算数1594.55万元，支出决算为1594.55万元，完成当年调整预算的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rPr>
        <w:t>673.77</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629.81</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620.75</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9.06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43.96</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43.96</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与同年预算相比增加</w:t>
      </w:r>
      <w:r>
        <w:rPr>
          <w:rFonts w:hint="eastAsia" w:ascii="宋体" w:hAnsi="宋体" w:eastAsia="仿宋_GB2312" w:cs="Times New Roman"/>
          <w:sz w:val="32"/>
          <w:szCs w:val="32"/>
          <w:lang w:val="en-US" w:eastAsia="zh-CN"/>
        </w:rPr>
        <w:t>0万元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万元；公务用车运行维护费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sz w:val="32"/>
          <w:szCs w:val="32"/>
        </w:rPr>
        <w:t>本单位为事业单位，无机关运行经费。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年我单位无政府采购业务支出。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我单位无国有资产占用情况。</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年度单位实行绩效目标管理的项目</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涉及一般公共预算当年拨款920.78万元。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ind w:firstLine="640" w:firstLineChars="200"/>
        <w:rPr>
          <w:rFonts w:ascii="宋体" w:hAnsi="宋体" w:eastAsia="仿宋_GB2312"/>
          <w:sz w:val="32"/>
          <w:szCs w:val="32"/>
        </w:rPr>
      </w:pPr>
      <w:r>
        <w:rPr>
          <w:rFonts w:hint="eastAsia" w:ascii="宋体" w:hAnsi="宋体" w:eastAsia="仿宋_GB2312"/>
          <w:sz w:val="32"/>
          <w:szCs w:val="32"/>
        </w:rPr>
        <w:t>量入为出，达到收支平衡，实事求是，力保正常运转，定期分析，提高绩效。</w:t>
      </w:r>
    </w:p>
    <w:p>
      <w:pPr>
        <w:widowControl/>
        <w:ind w:firstLine="320" w:firstLineChars="100"/>
        <w:jc w:val="left"/>
        <w:rPr>
          <w:rFonts w:ascii="仿宋_GB2312" w:hAnsi="仿宋_GB2312" w:eastAsia="仿宋_GB2312" w:cs="仿宋_GB2312"/>
          <w:color w:val="000000"/>
          <w:kern w:val="0"/>
          <w:sz w:val="31"/>
          <w:szCs w:val="31"/>
        </w:rPr>
      </w:pPr>
      <w:r>
        <w:rPr>
          <w:rFonts w:ascii="宋体" w:hAnsi="宋体" w:eastAsia="仿宋_GB2312"/>
          <w:sz w:val="32"/>
          <w:szCs w:val="32"/>
        </w:rPr>
        <w:t xml:space="preserve">  </w:t>
      </w:r>
      <w:r>
        <w:rPr>
          <w:rFonts w:hint="eastAsia" w:ascii="宋体" w:hAnsi="宋体" w:eastAsia="仿宋_GB2312"/>
          <w:sz w:val="32"/>
          <w:szCs w:val="32"/>
        </w:rPr>
        <w:t>健全财务管理制度，精打细算，提高资金使用效益。重大经费支出实行一事一议，集体运用评价结果，收支平衡。</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E115DFD"/>
    <w:rsid w:val="11D27EAE"/>
    <w:rsid w:val="20D97C1B"/>
    <w:rsid w:val="23553F43"/>
    <w:rsid w:val="299664C8"/>
    <w:rsid w:val="3F28132A"/>
    <w:rsid w:val="49221B6F"/>
    <w:rsid w:val="579603B9"/>
    <w:rsid w:val="6544153D"/>
    <w:rsid w:val="68CD37BD"/>
    <w:rsid w:val="69AE7648"/>
    <w:rsid w:val="6C940C35"/>
    <w:rsid w:val="736458ED"/>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1I"/>
    <w:basedOn w:val="3"/>
    <w:qFormat/>
    <w:uiPriority w:val="0"/>
    <w:pPr>
      <w:ind w:firstLine="420"/>
    </w:pPr>
  </w:style>
  <w:style w:type="paragraph" w:customStyle="1" w:styleId="3">
    <w:name w:val="BodyText"/>
    <w:basedOn w:val="1"/>
    <w:qFormat/>
    <w:uiPriority w:val="0"/>
    <w:rPr>
      <w:sz w:val="32"/>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unhideWhenUsed/>
    <w:qFormat/>
    <w:uiPriority w:val="99"/>
    <w:pPr>
      <w:spacing w:after="0"/>
      <w:ind w:firstLine="420"/>
    </w:pPr>
  </w:style>
  <w:style w:type="paragraph" w:customStyle="1" w:styleId="10">
    <w:name w:val="WPSOffice手动目录 1"/>
    <w:qFormat/>
    <w:uiPriority w:val="0"/>
    <w:rPr>
      <w:rFonts w:ascii="Times New Roman" w:hAnsi="Times New Roman" w:eastAsia="宋体" w:cs="Times New Roman"/>
      <w:lang w:val="en-US" w:eastAsia="zh-CN" w:bidi="ar-SA"/>
    </w:rPr>
  </w:style>
  <w:style w:type="paragraph" w:customStyle="1" w:styleId="1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2">
    <w:name w:val="NormalCharacter"/>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2</TotalTime>
  <ScaleCrop>false</ScaleCrop>
  <LinksUpToDate>false</LinksUpToDate>
  <CharactersWithSpaces>3558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2022-10-20T03:04:58Z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