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朔州市朔城区城镇住房事务中心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120" w:firstLineChars="10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hint="eastAsia" w:ascii="仿宋_GB2312" w:hAnsi="仿宋_GB2312" w:eastAsia="仿宋_GB2312" w:cs="仿宋_GB2312"/>
          <w:sz w:val="30"/>
          <w:szCs w:val="30"/>
          <w:lang w:eastAsia="zh-CN"/>
        </w:rPr>
      </w:pPr>
      <w:bookmarkStart w:id="2" w:name="_Toc7430_WPSOffice_Level1"/>
      <w:r>
        <w:rPr>
          <w:rFonts w:hint="eastAsia" w:ascii="仿宋" w:hAnsi="仿宋" w:eastAsia="仿宋" w:cs="仿宋"/>
          <w:sz w:val="32"/>
          <w:szCs w:val="32"/>
        </w:rPr>
        <w:t>主要职能职责</w:t>
      </w:r>
    </w:p>
    <w:p>
      <w:pPr>
        <w:numPr>
          <w:ilvl w:val="0"/>
          <w:numId w:val="0"/>
        </w:numPr>
        <w:ind w:firstLine="640" w:firstLineChars="200"/>
        <w:rPr>
          <w:rFonts w:hint="eastAsia" w:ascii="仿宋_GB2312" w:hAnsi="仿宋_GB2312" w:eastAsia="仿宋_GB2312" w:cs="仿宋_GB2312"/>
          <w:sz w:val="30"/>
          <w:szCs w:val="30"/>
          <w:lang w:eastAsia="zh-CN"/>
        </w:rPr>
      </w:pPr>
      <w:r>
        <w:rPr>
          <w:rFonts w:hint="eastAsia" w:ascii="仿宋" w:hAnsi="仿宋" w:eastAsia="仿宋" w:cs="仿宋"/>
          <w:sz w:val="32"/>
          <w:szCs w:val="32"/>
        </w:rPr>
        <w:t>1、</w:t>
      </w:r>
      <w:r>
        <w:rPr>
          <w:rFonts w:hint="eastAsia" w:ascii="仿宋_GB2312" w:hAnsi="仿宋_GB2312" w:eastAsia="仿宋_GB2312" w:cs="仿宋_GB2312"/>
          <w:sz w:val="30"/>
          <w:szCs w:val="30"/>
        </w:rPr>
        <w:t>贯彻执行国家、省、市有关城镇住房管理的法律、法规和方针、政策；协助区政府拟定地方性住房管理规范性文件，并经区政府授权组织实施</w:t>
      </w:r>
      <w:r>
        <w:rPr>
          <w:rFonts w:hint="eastAsia" w:ascii="仿宋_GB2312" w:hAnsi="仿宋_GB2312" w:eastAsia="仿宋_GB2312" w:cs="仿宋_GB2312"/>
          <w:sz w:val="30"/>
          <w:szCs w:val="30"/>
          <w:lang w:eastAsia="zh-CN"/>
        </w:rPr>
        <w:t>；</w:t>
      </w:r>
    </w:p>
    <w:p>
      <w:pPr>
        <w:spacing w:line="6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履行政府交办的保障性住房建设、安置和运行，公共租赁住房配租，对城镇低收入家庭住房补贴的审核、公示、发放</w:t>
      </w:r>
      <w:r>
        <w:rPr>
          <w:rFonts w:hint="eastAsia" w:ascii="仿宋_GB2312" w:hAnsi="仿宋_GB2312" w:eastAsia="仿宋_GB2312" w:cs="仿宋_GB2312"/>
          <w:sz w:val="30"/>
          <w:szCs w:val="30"/>
          <w:lang w:eastAsia="zh-CN"/>
        </w:rPr>
        <w:t>；</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协助相关部门办理房产交易、住房信息登记、抵押、协助实施城镇住房制度改革的具体工作</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负责解决国有建设用地上房屋交易和不动产登记历史遗留问题</w:t>
      </w:r>
      <w:r>
        <w:rPr>
          <w:rFonts w:hint="eastAsia" w:ascii="仿宋_GB2312" w:hAnsi="仿宋_GB2312" w:eastAsia="仿宋_GB2312" w:cs="仿宋_GB2312"/>
          <w:sz w:val="30"/>
          <w:szCs w:val="30"/>
          <w:lang w:eastAsia="zh-CN"/>
        </w:rPr>
        <w:t>；</w:t>
      </w:r>
    </w:p>
    <w:p>
      <w:pPr>
        <w:spacing w:line="6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协助相关部门开展房地产开发企业的房屋销售管理；核准商品房预售许可及商品房销售备案工作；房地产交易市场经营、交易行为的监督管理工作</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会同或配合有关部门规范住房市场、维护市场秩序、实施住房租赁合同登记备案，房产中介机构的监督管理工作</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协助相关部门实施住房面积测绘、房屋面积计量监督管理工作</w:t>
      </w:r>
      <w:r>
        <w:rPr>
          <w:rFonts w:hint="eastAsia" w:ascii="仿宋_GB2312" w:hAnsi="仿宋_GB2312" w:eastAsia="仿宋_GB2312" w:cs="仿宋_GB2312"/>
          <w:sz w:val="30"/>
          <w:szCs w:val="30"/>
          <w:lang w:eastAsia="zh-CN"/>
        </w:rPr>
        <w:t>；</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区政府授权负责中心城市物业管理、实施和监督。对物业管理不作为、无人管理的住宅小区，组织派驻或引进物业服务企业；监督各小区维修、绿化、铺装、亮化、管网等改造提质工作</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区政府授权负责中心城市房屋专项维修资金的收缴和管理工作</w:t>
      </w:r>
      <w:r>
        <w:rPr>
          <w:rFonts w:hint="eastAsia" w:ascii="仿宋_GB2312" w:hAnsi="仿宋_GB2312" w:eastAsia="仿宋_GB2312" w:cs="仿宋_GB2312"/>
          <w:sz w:val="30"/>
          <w:szCs w:val="30"/>
          <w:lang w:eastAsia="zh-CN"/>
        </w:rPr>
        <w:t>；</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对政府投资的建设项目，区政府授权履行投资主体职能，负责对项目的筹资、运营，并组织实施</w:t>
      </w:r>
      <w:r>
        <w:rPr>
          <w:rFonts w:hint="eastAsia" w:ascii="仿宋_GB2312" w:hAnsi="仿宋_GB2312" w:eastAsia="仿宋_GB2312" w:cs="仿宋_GB2312"/>
          <w:sz w:val="30"/>
          <w:szCs w:val="30"/>
          <w:lang w:eastAsia="zh-CN"/>
        </w:rPr>
        <w:t>；</w:t>
      </w:r>
    </w:p>
    <w:p>
      <w:pPr>
        <w:ind w:firstLine="600" w:firstLineChars="200"/>
        <w:rPr>
          <w:rFonts w:ascii="仿宋" w:hAnsi="仿宋" w:eastAsia="仿宋" w:cs="仿宋"/>
          <w:sz w:val="32"/>
          <w:szCs w:val="32"/>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承办区委、区政府交办的其他事项</w:t>
      </w:r>
      <w:r>
        <w:rPr>
          <w:rFonts w:hint="eastAsia" w:ascii="仿宋_GB2312" w:hAnsi="仿宋_GB2312" w:eastAsia="仿宋_GB2312" w:cs="仿宋_GB2312"/>
          <w:sz w:val="30"/>
          <w:szCs w:val="30"/>
          <w:lang w:eastAsia="zh-CN"/>
        </w:rPr>
        <w:t>。</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个科室，</w:t>
      </w:r>
      <w:r>
        <w:rPr>
          <w:rFonts w:hint="eastAsia" w:ascii="仿宋_GB2312" w:hAnsi="仿宋_GB2312" w:eastAsia="仿宋_GB2312" w:cs="仿宋_GB2312"/>
          <w:b w:val="0"/>
          <w:bCs/>
          <w:color w:val="auto"/>
          <w:sz w:val="30"/>
          <w:szCs w:val="30"/>
          <w:highlight w:val="none"/>
          <w:lang w:eastAsia="zh-CN"/>
        </w:rPr>
        <w:t>分别是：</w:t>
      </w:r>
      <w:r>
        <w:rPr>
          <w:rFonts w:hint="eastAsia" w:ascii="仿宋_GB2312" w:hAnsi="仿宋_GB2312" w:eastAsia="仿宋_GB2312" w:cs="仿宋_GB2312"/>
          <w:b w:val="0"/>
          <w:bCs/>
          <w:color w:val="auto"/>
          <w:sz w:val="30"/>
          <w:szCs w:val="30"/>
          <w:highlight w:val="none"/>
          <w:lang w:val="en-US" w:eastAsia="zh-CN"/>
        </w:rPr>
        <w:t>1、综合业务室；2、财务室；3、房屋服务站；4、市场物业服务站；5、工程服务站；</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eastAsia="zh-CN"/>
        </w:rPr>
        <w:t>朔州市朔城区城镇住房事务中心</w:t>
      </w:r>
      <w:r>
        <w:rPr>
          <w:rFonts w:hint="eastAsia" w:ascii="宋体" w:hAnsi="宋体" w:eastAsia="仿宋_GB2312" w:cs="Times New Roman"/>
          <w:sz w:val="32"/>
          <w:szCs w:val="32"/>
        </w:rPr>
        <w:t>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shd w:val="clear" w:fill="FFFFFF" w:themeFill="background1"/>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color w:val="FFFFFF" w:themeColor="background1"/>
          <w:sz w:val="32"/>
          <w:szCs w:val="32"/>
          <w:highlight w:val="none"/>
          <w:lang w:val="en-US" w:eastAsia="zh-CN"/>
          <w14:textFill>
            <w14:solidFill>
              <w14:schemeClr w14:val="bg1"/>
            </w14:solidFill>
          </w14:textFill>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highlight w:val="none"/>
          <w:lang w:val="en-US" w:eastAsia="zh-CN"/>
        </w:rPr>
        <w:t>694.10</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694.10</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color w:val="000000" w:themeColor="text1"/>
          <w:sz w:val="32"/>
          <w:szCs w:val="32"/>
          <w:highlight w:val="none"/>
          <w:shd w:val="clear" w:color="FFFFFF" w:fill="FFFFFF" w:themeFill="background1"/>
          <w:lang w:val="en-US" w:eastAsia="zh-CN"/>
          <w14:textFill>
            <w14:solidFill>
              <w14:schemeClr w14:val="tx1"/>
            </w14:solidFill>
          </w14:textFill>
        </w:rPr>
        <w:t>673.79</w:t>
      </w:r>
      <w:r>
        <w:rPr>
          <w:rFonts w:hint="eastAsia" w:ascii="宋体" w:hAnsi="宋体" w:eastAsia="仿宋_GB2312" w:cs="Times New Roman"/>
          <w:sz w:val="32"/>
          <w:szCs w:val="32"/>
        </w:rPr>
        <w:t>万元，支出总计减少</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673.79</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减少付大同金东南房地产拆迁融资款。</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693.78</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693.78</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694.10</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405.81</w:t>
      </w:r>
      <w:r>
        <w:rPr>
          <w:rFonts w:hint="eastAsia" w:ascii="宋体" w:hAnsi="宋体" w:eastAsia="仿宋_GB2312" w:cs="Times New Roman"/>
          <w:sz w:val="32"/>
          <w:szCs w:val="32"/>
        </w:rPr>
        <w:t>万元 ；项目支出</w:t>
      </w:r>
      <w:r>
        <w:rPr>
          <w:rFonts w:hint="eastAsia" w:ascii="仿宋" w:hAnsi="仿宋" w:eastAsia="仿宋" w:cs="仿宋"/>
          <w:sz w:val="32"/>
          <w:szCs w:val="32"/>
          <w:highlight w:val="none"/>
          <w:lang w:val="en-US" w:eastAsia="zh-CN"/>
        </w:rPr>
        <w:t>288.29</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highlight w:val="none"/>
          <w:lang w:val="en-US" w:eastAsia="zh-CN"/>
        </w:rPr>
        <w:t>694.10</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694.10</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color w:val="000000" w:themeColor="text1"/>
          <w:sz w:val="32"/>
          <w:szCs w:val="32"/>
          <w:highlight w:val="none"/>
          <w:shd w:val="clear" w:color="FFFFFF" w:fill="FFFFFF" w:themeFill="background1"/>
          <w:lang w:val="en-US" w:eastAsia="zh-CN"/>
          <w14:textFill>
            <w14:solidFill>
              <w14:schemeClr w14:val="tx1"/>
            </w14:solidFill>
          </w14:textFill>
        </w:rPr>
        <w:t>673.79</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50</w:t>
      </w:r>
      <w:r>
        <w:rPr>
          <w:rFonts w:hint="eastAsia" w:ascii="宋体" w:hAnsi="宋体" w:eastAsia="仿宋_GB2312" w:cs="Times New Roman"/>
          <w:sz w:val="32"/>
          <w:szCs w:val="32"/>
        </w:rPr>
        <w:t>%。</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减少付大同金东南房地产拆迁融资款。</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highlight w:val="none"/>
          <w:lang w:val="en-US" w:eastAsia="zh-CN"/>
        </w:rPr>
        <w:t>539.10</w:t>
      </w:r>
      <w:r>
        <w:rPr>
          <w:rFonts w:hint="eastAsia" w:ascii="宋体" w:hAnsi="宋体" w:eastAsia="仿宋_GB2312" w:cs="Times New Roman"/>
          <w:sz w:val="32"/>
          <w:szCs w:val="32"/>
          <w:highlight w:val="none"/>
        </w:rPr>
        <w:t xml:space="preserve">万元，与 </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 xml:space="preserve"> 年相比，财政拨款支出</w:t>
      </w:r>
      <w:r>
        <w:rPr>
          <w:rFonts w:hint="eastAsia" w:ascii="宋体" w:hAnsi="宋体" w:eastAsia="仿宋_GB2312" w:cs="Times New Roman"/>
          <w:sz w:val="32"/>
          <w:szCs w:val="32"/>
          <w:highlight w:val="none"/>
          <w:lang w:eastAsia="zh-CN"/>
        </w:rPr>
        <w:t>增加</w:t>
      </w:r>
      <w:r>
        <w:rPr>
          <w:rFonts w:hint="eastAsia" w:ascii="宋体" w:hAnsi="宋体" w:eastAsia="仿宋_GB2312" w:cs="Times New Roman"/>
          <w:sz w:val="32"/>
          <w:szCs w:val="32"/>
          <w:highlight w:val="none"/>
          <w:lang w:val="en-US" w:eastAsia="zh-CN"/>
        </w:rPr>
        <w:t>76.58</w:t>
      </w:r>
      <w:r>
        <w:rPr>
          <w:rFonts w:hint="eastAsia" w:ascii="宋体" w:hAnsi="宋体" w:eastAsia="仿宋_GB2312" w:cs="Times New Roman"/>
          <w:sz w:val="32"/>
          <w:szCs w:val="32"/>
          <w:highlight w:val="none"/>
        </w:rPr>
        <w:t>万元。主要原因是：</w:t>
      </w:r>
      <w:r>
        <w:rPr>
          <w:rFonts w:hint="eastAsia" w:ascii="宋体" w:hAnsi="宋体" w:eastAsia="仿宋_GB2312" w:cs="Times New Roman"/>
          <w:sz w:val="32"/>
          <w:szCs w:val="32"/>
          <w:highlight w:val="none"/>
          <w:lang w:eastAsia="zh-CN"/>
        </w:rPr>
        <w:t>增加</w:t>
      </w:r>
      <w:r>
        <w:rPr>
          <w:rFonts w:hint="eastAsia" w:ascii="宋体" w:hAnsi="宋体" w:eastAsia="仿宋_GB2312" w:cs="Times New Roman"/>
          <w:sz w:val="32"/>
          <w:szCs w:val="32"/>
          <w:lang w:eastAsia="zh-CN"/>
        </w:rPr>
        <w:t>厚德园小区</w:t>
      </w:r>
      <w:r>
        <w:rPr>
          <w:rFonts w:hint="eastAsia" w:ascii="宋体" w:hAnsi="宋体" w:eastAsia="仿宋_GB2312" w:cs="Times New Roman"/>
          <w:sz w:val="32"/>
          <w:szCs w:val="32"/>
          <w:lang w:val="en-US" w:eastAsia="zh-CN"/>
        </w:rPr>
        <w:t>D、E、F区阳台封堵及加砌花池（排污管保温）工程</w:t>
      </w:r>
      <w:r>
        <w:rPr>
          <w:rFonts w:hint="eastAsia" w:ascii="宋体" w:hAnsi="宋体" w:eastAsia="仿宋_GB2312" w:cs="Times New Roman"/>
          <w:sz w:val="32"/>
          <w:szCs w:val="32"/>
          <w:highlight w:val="none"/>
          <w:lang w:val="en-US" w:eastAsia="zh-CN"/>
        </w:rPr>
        <w:t>款；增加保障性住房补贴万元</w:t>
      </w:r>
      <w:r>
        <w:rPr>
          <w:rFonts w:hint="eastAsia" w:ascii="宋体" w:hAnsi="宋体" w:eastAsia="仿宋_GB2312" w:cs="Times New Roman"/>
          <w:sz w:val="32"/>
          <w:szCs w:val="32"/>
          <w:highlight w:val="none"/>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_GB2312" w:cs="仿宋"/>
          <w:sz w:val="32"/>
          <w:szCs w:val="32"/>
          <w:highlight w:val="none"/>
          <w:lang w:val="en-US" w:eastAsia="zh-CN"/>
        </w:rPr>
      </w:pPr>
      <w:bookmarkStart w:id="14" w:name="_Toc1066_WPSOffice_Level2"/>
      <w:bookmarkStart w:id="15" w:name="_Toc27424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仿宋" w:hAnsi="仿宋" w:eastAsia="仿宋" w:cs="仿宋"/>
          <w:sz w:val="32"/>
          <w:szCs w:val="32"/>
          <w:highlight w:val="none"/>
          <w:lang w:val="en-US" w:eastAsia="zh-CN"/>
        </w:rPr>
        <w:t>539.10</w:t>
      </w:r>
      <w:r>
        <w:rPr>
          <w:rFonts w:hint="eastAsia" w:ascii="宋体" w:hAnsi="宋体" w:eastAsia="仿宋_GB2312" w:cs="Times New Roman"/>
          <w:sz w:val="32"/>
          <w:szCs w:val="32"/>
          <w:highlight w:val="none"/>
        </w:rPr>
        <w:t>万元，主要用于以下方面</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2120103机关服务支出459.10，占比85%</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2120399其他城乡社区公共设施支出60万元，占比11%；2210107保障性住房租金补贴20万元，占比4%。</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539.10</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539.10</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405.81</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405.81</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390.04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15.77</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与同年预算相比增加（减少）</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155</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155</w:t>
      </w:r>
      <w:r>
        <w:rPr>
          <w:rFonts w:hint="eastAsia" w:ascii="宋体" w:hAnsi="宋体" w:eastAsia="仿宋_GB2312" w:cs="Times New Roman"/>
          <w:sz w:val="32"/>
          <w:szCs w:val="32"/>
        </w:rPr>
        <w:t>万元。具体支出情况如下:</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2120899其他</w:t>
      </w:r>
      <w:r>
        <w:rPr>
          <w:rFonts w:hint="eastAsia" w:ascii="宋体" w:hAnsi="宋体" w:eastAsia="仿宋_GB2312" w:cs="Times New Roman"/>
          <w:sz w:val="32"/>
          <w:szCs w:val="32"/>
          <w:lang w:eastAsia="zh-CN"/>
        </w:rPr>
        <w:t>国有土地使得用权出让收入安排的支出</w:t>
      </w:r>
      <w:r>
        <w:rPr>
          <w:rFonts w:hint="eastAsia" w:ascii="宋体" w:hAnsi="宋体" w:eastAsia="仿宋_GB2312" w:cs="Times New Roman"/>
          <w:sz w:val="32"/>
          <w:szCs w:val="32"/>
          <w:lang w:val="en-US" w:eastAsia="zh-CN"/>
        </w:rPr>
        <w:t>155</w:t>
      </w:r>
      <w:r>
        <w:rPr>
          <w:rFonts w:hint="eastAsia" w:ascii="宋体" w:hAnsi="宋体" w:eastAsia="仿宋_GB2312" w:cs="Times New Roman"/>
          <w:sz w:val="32"/>
          <w:szCs w:val="32"/>
        </w:rPr>
        <w:t>万元，主要是用</w:t>
      </w:r>
      <w:r>
        <w:rPr>
          <w:rFonts w:hint="eastAsia" w:ascii="宋体" w:hAnsi="宋体" w:eastAsia="仿宋_GB2312" w:cs="Times New Roman"/>
          <w:sz w:val="32"/>
          <w:szCs w:val="32"/>
          <w:lang w:eastAsia="zh-CN"/>
        </w:rPr>
        <w:t>于厚德园小区</w:t>
      </w:r>
      <w:r>
        <w:rPr>
          <w:rFonts w:hint="eastAsia" w:ascii="宋体" w:hAnsi="宋体" w:eastAsia="仿宋_GB2312" w:cs="Times New Roman"/>
          <w:sz w:val="32"/>
          <w:szCs w:val="32"/>
          <w:lang w:val="en-US" w:eastAsia="zh-CN"/>
        </w:rPr>
        <w:t>D、E、F区阳台封堵及加砌花池（排污管保温）工程项目55万元和家和苑拆迁安置小区室外配套工程项目100万元</w:t>
      </w:r>
      <w:r>
        <w:rPr>
          <w:rFonts w:hint="eastAsia" w:ascii="宋体" w:hAnsi="宋体" w:eastAsia="仿宋_GB2312" w:cs="Times New Roman"/>
          <w:sz w:val="32"/>
          <w:szCs w:val="32"/>
        </w:rPr>
        <w:t>。</w:t>
      </w:r>
    </w:p>
    <w:p>
      <w:pPr>
        <w:numPr>
          <w:ilvl w:val="0"/>
          <w:numId w:val="3"/>
        </w:numPr>
        <w:spacing w:line="204" w:lineRule="auto"/>
        <w:jc w:val="left"/>
        <w:rPr>
          <w:rFonts w:hint="eastAsia" w:eastAsia="楷体"/>
          <w:lang w:eastAsia="zh-CN"/>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单位</w:t>
      </w:r>
      <w:bookmarkStart w:id="22" w:name="_GoBack"/>
      <w:bookmarkEnd w:id="22"/>
      <w:r>
        <w:rPr>
          <w:rFonts w:hint="eastAsia" w:ascii="宋体" w:hAnsi="宋体" w:eastAsia="仿宋_GB2312" w:cs="Times New Roman"/>
          <w:sz w:val="32"/>
          <w:szCs w:val="32"/>
        </w:rPr>
        <w:t>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年我单位政府采购总额</w:t>
      </w:r>
      <w:r>
        <w:rPr>
          <w:rFonts w:hint="eastAsia" w:ascii="仿宋" w:hAnsi="仿宋" w:eastAsia="仿宋" w:cs="仿宋"/>
          <w:spacing w:val="4"/>
          <w:sz w:val="32"/>
          <w:szCs w:val="32"/>
          <w:highlight w:val="none"/>
          <w:lang w:val="en-US" w:eastAsia="zh-CN"/>
        </w:rPr>
        <w:t>10.23</w:t>
      </w:r>
      <w:r>
        <w:rPr>
          <w:rFonts w:hint="eastAsia" w:ascii="宋体" w:hAnsi="宋体" w:eastAsia="仿宋_GB2312" w:cs="Times New Roman"/>
          <w:sz w:val="32"/>
          <w:szCs w:val="32"/>
          <w:highlight w:val="none"/>
        </w:rPr>
        <w:t>万元，其中：政府采购货物</w:t>
      </w:r>
      <w:r>
        <w:rPr>
          <w:rFonts w:hint="eastAsia" w:ascii="仿宋" w:hAnsi="仿宋" w:eastAsia="仿宋" w:cs="仿宋"/>
          <w:spacing w:val="4"/>
          <w:sz w:val="32"/>
          <w:szCs w:val="32"/>
          <w:highlight w:val="none"/>
          <w:lang w:val="en-US" w:eastAsia="zh-CN"/>
        </w:rPr>
        <w:t>10.23</w:t>
      </w:r>
      <w:r>
        <w:rPr>
          <w:rFonts w:hint="eastAsia" w:ascii="宋体" w:hAnsi="宋体" w:eastAsia="仿宋_GB2312" w:cs="Times New Roman"/>
          <w:sz w:val="32"/>
          <w:szCs w:val="32"/>
          <w:highlight w:val="none"/>
        </w:rPr>
        <w:t>万元、政府采购工程</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万元、政府采购服务</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80</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widowControl/>
        <w:ind w:firstLine="640" w:firstLineChars="200"/>
        <w:jc w:val="left"/>
        <w:rPr>
          <w:rFonts w:hint="eastAsia" w:ascii="仿宋_GB2312" w:hAnsi="仿宋_GB2312" w:eastAsia="仿宋_GB2312" w:cs="仿宋_GB2312"/>
          <w:color w:val="000000"/>
          <w:kern w:val="0"/>
          <w:sz w:val="31"/>
          <w:szCs w:val="31"/>
          <w:lang w:eastAsia="zh-CN"/>
        </w:rPr>
      </w:pPr>
      <w:r>
        <w:rPr>
          <w:rFonts w:hint="eastAsia" w:ascii="宋体" w:hAnsi="宋体" w:eastAsia="仿宋_GB2312" w:cs="Times New Roman"/>
          <w:sz w:val="32"/>
          <w:szCs w:val="32"/>
          <w:lang w:eastAsia="zh-CN"/>
        </w:rPr>
        <w:t>通过开展绩效评价，保质保量，按时完成制定目标，在工作中取得了一定成效，得到了群众的满意和一致好评。</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9BD761B"/>
    <w:rsid w:val="0E115DFD"/>
    <w:rsid w:val="11D27EAE"/>
    <w:rsid w:val="1BF072EF"/>
    <w:rsid w:val="1DFE6054"/>
    <w:rsid w:val="20D97C1B"/>
    <w:rsid w:val="211361A1"/>
    <w:rsid w:val="23553F43"/>
    <w:rsid w:val="299664C8"/>
    <w:rsid w:val="2C1847FF"/>
    <w:rsid w:val="2C942E52"/>
    <w:rsid w:val="36936063"/>
    <w:rsid w:val="3F28132A"/>
    <w:rsid w:val="40696ED6"/>
    <w:rsid w:val="473934C0"/>
    <w:rsid w:val="49221B6F"/>
    <w:rsid w:val="4E4F7DE6"/>
    <w:rsid w:val="50764E9C"/>
    <w:rsid w:val="51CE5DBC"/>
    <w:rsid w:val="521F3BD1"/>
    <w:rsid w:val="53380898"/>
    <w:rsid w:val="6544153D"/>
    <w:rsid w:val="66A225D2"/>
    <w:rsid w:val="68CD37BD"/>
    <w:rsid w:val="6C940C35"/>
    <w:rsid w:val="6F5A781B"/>
    <w:rsid w:val="76135D34"/>
    <w:rsid w:val="77A67F96"/>
    <w:rsid w:val="78301191"/>
    <w:rsid w:val="78B374BE"/>
    <w:rsid w:val="7D25257B"/>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14</TotalTime>
  <ScaleCrop>false</ScaleCrop>
  <LinksUpToDate>false</LinksUpToDate>
  <CharactersWithSpaces>3558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2022-10-20T09:27:22Z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