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朔州市朔城区国有土地上房屋征收中心</w:t>
      </w:r>
    </w:p>
    <w:p>
      <w:pPr>
        <w:jc w:val="center"/>
        <w:rPr>
          <w:rFonts w:ascii="黑体" w:eastAsia="黑体"/>
          <w:sz w:val="44"/>
          <w:szCs w:val="44"/>
        </w:rPr>
      </w:pPr>
      <w:r>
        <w:rPr>
          <w:rFonts w:hint="eastAsia" w:ascii="黑体" w:eastAsia="黑体"/>
          <w:sz w:val="44"/>
          <w:szCs w:val="44"/>
        </w:rPr>
        <w:t>单位202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ageBreakBefore w:val="0"/>
        <w:autoSpaceDE/>
        <w:autoSpaceDN/>
        <w:bidi w:val="0"/>
        <w:snapToGrid/>
        <w:spacing w:before="0" w:after="0" w:line="240" w:lineRule="auto"/>
        <w:ind w:left="0" w:right="0" w:firstLine="643"/>
        <w:jc w:val="both"/>
        <w:rPr>
          <w:rFonts w:hint="eastAsia" w:ascii="方正仿宋_GB2312" w:hAnsi="方正仿宋_GB2312" w:eastAsia="方正仿宋_GB2312" w:cs="方正仿宋_GB2312"/>
          <w:color w:val="auto"/>
          <w:spacing w:val="0"/>
          <w:sz w:val="32"/>
          <w:szCs w:val="32"/>
          <w:rtl w:val="0"/>
        </w:rPr>
      </w:pPr>
      <w:r>
        <w:rPr>
          <w:rFonts w:hint="eastAsia" w:ascii="方正仿宋_GB2312" w:hAnsi="方正仿宋_GB2312" w:eastAsia="方正仿宋_GB2312" w:cs="方正仿宋_GB2312"/>
          <w:b/>
          <w:color w:val="auto"/>
          <w:spacing w:val="0"/>
          <w:sz w:val="32"/>
          <w:szCs w:val="32"/>
          <w:rtl w:val="0"/>
        </w:rPr>
        <w:t>1.</w:t>
      </w:r>
      <w:r>
        <w:rPr>
          <w:rFonts w:hint="eastAsia" w:ascii="方正仿宋_GB2312" w:hAnsi="方正仿宋_GB2312" w:eastAsia="方正仿宋_GB2312" w:cs="方正仿宋_GB2312"/>
          <w:color w:val="auto"/>
          <w:spacing w:val="0"/>
          <w:sz w:val="32"/>
          <w:szCs w:val="32"/>
          <w:rtl w:val="0"/>
        </w:rPr>
        <w:t>宣传贯彻城市房屋拆迁法规和有关政策；</w:t>
      </w:r>
    </w:p>
    <w:p>
      <w:pPr>
        <w:pageBreakBefore w:val="0"/>
        <w:autoSpaceDE/>
        <w:autoSpaceDN/>
        <w:bidi w:val="0"/>
        <w:snapToGrid/>
        <w:spacing w:before="0" w:after="0" w:line="240" w:lineRule="auto"/>
        <w:ind w:left="0" w:right="0" w:firstLine="643"/>
        <w:jc w:val="both"/>
        <w:rPr>
          <w:rFonts w:hint="eastAsia" w:ascii="方正仿宋_GB2312" w:hAnsi="方正仿宋_GB2312" w:eastAsia="方正仿宋_GB2312" w:cs="方正仿宋_GB2312"/>
          <w:color w:val="auto"/>
          <w:spacing w:val="0"/>
          <w:sz w:val="32"/>
          <w:szCs w:val="32"/>
          <w:rtl w:val="0"/>
        </w:rPr>
      </w:pPr>
      <w:r>
        <w:rPr>
          <w:rFonts w:hint="eastAsia" w:ascii="方正仿宋_GB2312" w:hAnsi="方正仿宋_GB2312" w:eastAsia="方正仿宋_GB2312" w:cs="方正仿宋_GB2312"/>
          <w:b/>
          <w:color w:val="auto"/>
          <w:spacing w:val="0"/>
          <w:sz w:val="32"/>
          <w:szCs w:val="32"/>
          <w:rtl w:val="0"/>
        </w:rPr>
        <w:t>2.</w:t>
      </w:r>
      <w:r>
        <w:rPr>
          <w:rFonts w:hint="eastAsia" w:ascii="方正仿宋_GB2312" w:hAnsi="方正仿宋_GB2312" w:eastAsia="方正仿宋_GB2312" w:cs="方正仿宋_GB2312"/>
          <w:color w:val="auto"/>
          <w:spacing w:val="0"/>
          <w:sz w:val="32"/>
          <w:szCs w:val="32"/>
          <w:rtl w:val="0"/>
        </w:rPr>
        <w:t>审查房屋拆迁计划和拆迁方案等有关文件；</w:t>
      </w:r>
    </w:p>
    <w:p>
      <w:pPr>
        <w:pageBreakBefore w:val="0"/>
        <w:autoSpaceDE/>
        <w:autoSpaceDN/>
        <w:bidi w:val="0"/>
        <w:snapToGrid/>
        <w:spacing w:before="0" w:after="0" w:line="240" w:lineRule="auto"/>
        <w:ind w:left="0" w:right="0" w:firstLine="643"/>
        <w:jc w:val="both"/>
        <w:rPr>
          <w:rFonts w:hint="eastAsia" w:ascii="方正仿宋_GB2312" w:hAnsi="方正仿宋_GB2312" w:eastAsia="方正仿宋_GB2312" w:cs="方正仿宋_GB2312"/>
          <w:color w:val="auto"/>
          <w:spacing w:val="0"/>
          <w:sz w:val="32"/>
          <w:szCs w:val="32"/>
          <w:rtl w:val="0"/>
        </w:rPr>
      </w:pPr>
      <w:r>
        <w:rPr>
          <w:rFonts w:hint="eastAsia" w:ascii="方正仿宋_GB2312" w:hAnsi="方正仿宋_GB2312" w:eastAsia="方正仿宋_GB2312" w:cs="方正仿宋_GB2312"/>
          <w:b/>
          <w:color w:val="auto"/>
          <w:spacing w:val="0"/>
          <w:sz w:val="32"/>
          <w:szCs w:val="32"/>
          <w:rtl w:val="0"/>
        </w:rPr>
        <w:t>3.</w:t>
      </w:r>
      <w:r>
        <w:rPr>
          <w:rFonts w:hint="eastAsia" w:ascii="方正仿宋_GB2312" w:hAnsi="方正仿宋_GB2312" w:eastAsia="方正仿宋_GB2312" w:cs="方正仿宋_GB2312"/>
          <w:color w:val="auto"/>
          <w:spacing w:val="0"/>
          <w:sz w:val="32"/>
          <w:szCs w:val="32"/>
          <w:rtl w:val="0"/>
        </w:rPr>
        <w:t>核发房屋拆迁许可证，发布房屋拆迁公告；</w:t>
      </w:r>
    </w:p>
    <w:p>
      <w:pPr>
        <w:pageBreakBefore w:val="0"/>
        <w:autoSpaceDE/>
        <w:autoSpaceDN/>
        <w:bidi w:val="0"/>
        <w:snapToGrid/>
        <w:spacing w:before="0" w:after="0" w:line="240" w:lineRule="auto"/>
        <w:ind w:left="0" w:right="0" w:firstLine="643"/>
        <w:jc w:val="both"/>
        <w:rPr>
          <w:rFonts w:hint="eastAsia" w:ascii="方正仿宋_GB2312" w:hAnsi="方正仿宋_GB2312" w:eastAsia="方正仿宋_GB2312" w:cs="方正仿宋_GB2312"/>
          <w:color w:val="auto"/>
          <w:spacing w:val="0"/>
          <w:sz w:val="32"/>
          <w:szCs w:val="32"/>
          <w:rtl w:val="0"/>
        </w:rPr>
      </w:pPr>
      <w:r>
        <w:rPr>
          <w:rFonts w:hint="eastAsia" w:ascii="方正仿宋_GB2312" w:hAnsi="方正仿宋_GB2312" w:eastAsia="方正仿宋_GB2312" w:cs="方正仿宋_GB2312"/>
          <w:b/>
          <w:color w:val="auto"/>
          <w:spacing w:val="0"/>
          <w:sz w:val="32"/>
          <w:szCs w:val="32"/>
          <w:rtl w:val="0"/>
        </w:rPr>
        <w:t>4.</w:t>
      </w:r>
      <w:r>
        <w:rPr>
          <w:rFonts w:hint="eastAsia" w:ascii="方正仿宋_GB2312" w:hAnsi="方正仿宋_GB2312" w:eastAsia="方正仿宋_GB2312" w:cs="方正仿宋_GB2312"/>
          <w:color w:val="auto"/>
          <w:spacing w:val="0"/>
          <w:sz w:val="32"/>
          <w:szCs w:val="32"/>
          <w:rtl w:val="0"/>
        </w:rPr>
        <w:t>负责对拆迁人或被委托人的资质审核，核发房屋拆迁资格证书；</w:t>
      </w:r>
    </w:p>
    <w:p>
      <w:pPr>
        <w:pageBreakBefore w:val="0"/>
        <w:autoSpaceDE/>
        <w:autoSpaceDN/>
        <w:bidi w:val="0"/>
        <w:snapToGrid/>
        <w:spacing w:before="0" w:after="0" w:line="240" w:lineRule="auto"/>
        <w:ind w:left="0" w:right="0" w:firstLine="643"/>
        <w:jc w:val="both"/>
        <w:rPr>
          <w:rFonts w:ascii="仿宋" w:hAnsi="仿宋" w:eastAsia="仿宋" w:cs="仿宋"/>
          <w:sz w:val="32"/>
          <w:szCs w:val="32"/>
        </w:rPr>
      </w:pPr>
      <w:r>
        <w:rPr>
          <w:rFonts w:hint="eastAsia" w:ascii="方正仿宋_GB2312" w:hAnsi="方正仿宋_GB2312" w:eastAsia="方正仿宋_GB2312" w:cs="方正仿宋_GB2312"/>
          <w:b/>
          <w:color w:val="auto"/>
          <w:spacing w:val="0"/>
          <w:sz w:val="32"/>
          <w:szCs w:val="32"/>
          <w:rtl w:val="0"/>
        </w:rPr>
        <w:t>5.</w:t>
      </w:r>
      <w:r>
        <w:rPr>
          <w:rFonts w:hint="eastAsia" w:ascii="方正仿宋_GB2312" w:hAnsi="方正仿宋_GB2312" w:eastAsia="方正仿宋_GB2312" w:cs="方正仿宋_GB2312"/>
          <w:color w:val="auto"/>
          <w:spacing w:val="0"/>
          <w:sz w:val="32"/>
          <w:szCs w:val="32"/>
          <w:rtl w:val="0"/>
        </w:rPr>
        <w:t>对房屋拆迁活动进行协调、监督和检查，对拆迁工作人员进行岗位培训。</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本单位内设</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个科室，下属</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个单位。从预算单位构成看，</w:t>
      </w:r>
      <w:r>
        <w:rPr>
          <w:rFonts w:hint="eastAsia" w:ascii="方正仿宋_GB2312" w:hAnsi="方正仿宋_GB2312" w:eastAsia="方正仿宋_GB2312" w:cs="方正仿宋_GB2312"/>
          <w:sz w:val="32"/>
          <w:szCs w:val="32"/>
          <w:lang w:val="en-US" w:eastAsia="zh-CN"/>
        </w:rPr>
        <w:t>朔城区国有土地上房屋征收中心</w:t>
      </w:r>
      <w:r>
        <w:rPr>
          <w:rFonts w:hint="eastAsia" w:ascii="方正仿宋_GB2312" w:hAnsi="方正仿宋_GB2312" w:eastAsia="方正仿宋_GB2312" w:cs="方正仿宋_GB2312"/>
          <w:sz w:val="32"/>
          <w:szCs w:val="32"/>
        </w:rPr>
        <w:t>单位部门决算包括：本级决算</w:t>
      </w:r>
      <w:r>
        <w:rPr>
          <w:rFonts w:hint="eastAsia" w:ascii="方正仿宋_GB2312" w:hAnsi="方正仿宋_GB2312" w:eastAsia="方正仿宋_GB2312" w:cs="方正仿宋_GB2312"/>
          <w:sz w:val="32"/>
          <w:szCs w:val="32"/>
          <w:lang w:eastAsia="zh-CN"/>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计36309.52万元 、 支 出 总 计36309.52万元。与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34922.54</w:t>
      </w:r>
      <w:r>
        <w:rPr>
          <w:rFonts w:hint="eastAsia" w:ascii="宋体" w:hAnsi="宋体" w:eastAsia="仿宋_GB2312" w:cs="Times New Roman"/>
          <w:sz w:val="32"/>
          <w:szCs w:val="32"/>
        </w:rPr>
        <w:t>万元，支出总计增加</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34922.54</w:t>
      </w:r>
      <w:r>
        <w:rPr>
          <w:rFonts w:hint="eastAsia" w:ascii="宋体" w:hAnsi="宋体" w:eastAsia="仿宋_GB2312" w:cs="Times New Roman"/>
          <w:sz w:val="32"/>
          <w:szCs w:val="32"/>
        </w:rPr>
        <w:t>万元。主要原因是：</w:t>
      </w:r>
    </w:p>
    <w:p>
      <w:pPr>
        <w:numPr>
          <w:ilvl w:val="0"/>
          <w:numId w:val="3"/>
        </w:numPr>
        <w:spacing w:line="204" w:lineRule="auto"/>
        <w:ind w:firstLine="667"/>
        <w:jc w:val="left"/>
        <w:rPr>
          <w:rFonts w:hint="eastAsia" w:ascii="方正仿宋_GB2312" w:hAnsi="方正仿宋_GB2312" w:eastAsia="方正仿宋_GB2312" w:cs="方正仿宋_GB2312"/>
          <w:sz w:val="32"/>
          <w:szCs w:val="32"/>
          <w:lang w:val="en-US" w:eastAsia="zh-CN"/>
        </w:rPr>
      </w:pPr>
      <w:r>
        <w:rPr>
          <w:rFonts w:hint="eastAsia" w:ascii="宋体" w:hAnsi="宋体" w:eastAsia="仿宋_GB2312" w:cs="Times New Roman"/>
          <w:sz w:val="32"/>
          <w:szCs w:val="32"/>
        </w:rPr>
        <w:t>征地和拆迁补偿支出</w:t>
      </w:r>
      <w:r>
        <w:rPr>
          <w:rFonts w:hint="eastAsia" w:ascii="宋体" w:hAnsi="宋体" w:eastAsia="仿宋_GB2312" w:cs="Times New Roman"/>
          <w:sz w:val="32"/>
          <w:szCs w:val="32"/>
          <w:lang w:val="en-US" w:eastAsia="zh-CN"/>
        </w:rPr>
        <w:t>增加24686.3862万元；(1)张家河、雒儿庄、南泉三村拆迁支出5000万元；（2）老城遗留片区征收资金5000万元；（3）老城征收资金3000万元；（4）朔州市朔城区北旺庄街道张家河棚户区征收补偿安置3000万元；（5）退还山西北星实业有限责任公司土地补偿款709.16万元；（6）拨付老城遗留11处院落征收资金230.84万元；（7）退还丰泰铝业垫付的土地征收补偿等费用1840.9万元；（8）</w:t>
      </w:r>
      <w:r>
        <w:rPr>
          <w:rFonts w:hint="eastAsia" w:ascii="方正仿宋_GB2312" w:hAnsi="方正仿宋_GB2312" w:eastAsia="方正仿宋_GB2312" w:cs="方正仿宋_GB2312"/>
          <w:sz w:val="32"/>
          <w:szCs w:val="32"/>
          <w:lang w:val="en-US" w:eastAsia="zh-CN"/>
        </w:rPr>
        <w:t>退还山西朔芳亚麻纺织有限公司征地补偿款105.485万元；（9）退还朔州市万通源房地产开发有限公司代征收费用1300万元；（10）拨付朔州市万通源房地产开发有限公司代征收费用1500万元；（11）朔城区北旺庄街道张家河村棚户区征收补偿安置项目3000万元。</w:t>
      </w:r>
    </w:p>
    <w:p>
      <w:pPr>
        <w:numPr>
          <w:ilvl w:val="0"/>
          <w:numId w:val="3"/>
        </w:numPr>
        <w:spacing w:line="204" w:lineRule="auto"/>
        <w:ind w:firstLine="667"/>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其他国有土地使用权出让收入安排的支出增加10019万元：（1）准池总部基地项目土地及附着物征收资金1720万元；（2）退还朔州市森杰房地产公司建设同安小区安置被征收户2900万元；（3）退还朔州市森杰房地产公司征收金三角棚户区垫付的征收资金1069万元；（4）朔州市森杰房地产开发有限公司在开发南路东侧拓宽改造垫付资金715万元；（5）朔州市万鑫房地产开发有限公司垫付征收资金274万元；（6）朔州市森杰房地产开发有限公司建设同顺小区退款3341万元。</w:t>
      </w:r>
    </w:p>
    <w:p>
      <w:pPr>
        <w:pStyle w:val="2"/>
        <w:numPr>
          <w:ilvl w:val="0"/>
          <w:numId w:val="0"/>
        </w:numPr>
        <w:rPr>
          <w:rFonts w:hint="default"/>
          <w:lang w:val="en-US" w:eastAsia="zh-CN"/>
        </w:rPr>
      </w:pP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本年收入合计36309.52万元，其中：财政拨款收入36309.52万元;上级补助收入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本年支出合计36309.52万元 ，其中：基本支出</w:t>
      </w:r>
      <w:r>
        <w:rPr>
          <w:rFonts w:hint="eastAsia" w:ascii="仿宋" w:hAnsi="仿宋" w:eastAsia="仿宋" w:cs="仿宋"/>
          <w:sz w:val="32"/>
          <w:szCs w:val="32"/>
          <w:lang w:val="en-US" w:eastAsia="zh-CN"/>
        </w:rPr>
        <w:t>19.77</w:t>
      </w:r>
      <w:r>
        <w:rPr>
          <w:rFonts w:hint="eastAsia" w:ascii="宋体" w:hAnsi="宋体" w:eastAsia="仿宋_GB2312" w:cs="Times New Roman"/>
          <w:sz w:val="32"/>
          <w:szCs w:val="32"/>
        </w:rPr>
        <w:t>万元 ；项目支出</w:t>
      </w:r>
      <w:r>
        <w:rPr>
          <w:rFonts w:hint="eastAsia" w:ascii="仿宋" w:hAnsi="仿宋" w:eastAsia="仿宋" w:cs="仿宋"/>
          <w:sz w:val="32"/>
          <w:szCs w:val="32"/>
        </w:rPr>
        <w:t>36289.75</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rPr>
        <w:t>36309.52</w:t>
      </w:r>
      <w:r>
        <w:rPr>
          <w:rFonts w:hint="eastAsia" w:ascii="宋体" w:hAnsi="宋体" w:eastAsia="仿宋_GB2312" w:cs="Times New Roman"/>
          <w:sz w:val="32"/>
          <w:szCs w:val="32"/>
        </w:rPr>
        <w:t xml:space="preserve">万元、支出总计36309.52万元。与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34922.54</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2517.9</w:t>
      </w:r>
      <w:r>
        <w:rPr>
          <w:rFonts w:hint="eastAsia" w:ascii="宋体" w:hAnsi="宋体" w:eastAsia="仿宋_GB2312" w:cs="Times New Roman"/>
          <w:sz w:val="32"/>
          <w:szCs w:val="32"/>
        </w:rPr>
        <w:t>%。主要原因是：征地和拆迁补偿</w:t>
      </w:r>
      <w:r>
        <w:rPr>
          <w:rFonts w:hint="eastAsia" w:ascii="宋体" w:hAnsi="宋体" w:eastAsia="仿宋_GB2312" w:cs="Times New Roman"/>
          <w:sz w:val="32"/>
          <w:szCs w:val="32"/>
          <w:lang w:val="en-US" w:eastAsia="zh-CN"/>
        </w:rPr>
        <w:t>收入增加34705.39万元。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36309.52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34922.54</w:t>
      </w:r>
      <w:r>
        <w:rPr>
          <w:rFonts w:hint="eastAsia" w:ascii="宋体" w:hAnsi="宋体" w:eastAsia="仿宋_GB2312" w:cs="Times New Roman"/>
          <w:sz w:val="32"/>
          <w:szCs w:val="32"/>
        </w:rPr>
        <w:t>万元。主要原因是：征地和拆迁补偿</w:t>
      </w:r>
      <w:r>
        <w:rPr>
          <w:rFonts w:hint="eastAsia" w:ascii="宋体" w:hAnsi="宋体" w:eastAsia="仿宋_GB2312" w:cs="Times New Roman"/>
          <w:sz w:val="32"/>
          <w:szCs w:val="32"/>
          <w:lang w:val="en-US" w:eastAsia="zh-CN"/>
        </w:rPr>
        <w:t>支出增加34705.39万元。</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_GB2312" w:cs="仿宋"/>
          <w:sz w:val="32"/>
          <w:szCs w:val="32"/>
          <w:lang w:val="en-US" w:eastAsia="zh-CN"/>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36309.52</w:t>
      </w:r>
      <w:r>
        <w:rPr>
          <w:rFonts w:hint="eastAsia" w:ascii="宋体" w:hAnsi="宋体" w:eastAsia="仿宋_GB2312" w:cs="Times New Roman"/>
          <w:sz w:val="32"/>
          <w:szCs w:val="32"/>
        </w:rPr>
        <w:t>万元，主要用于以下方面： 机关服务科目支出40.13万元，占</w:t>
      </w:r>
      <w:r>
        <w:rPr>
          <w:rFonts w:hint="eastAsia" w:ascii="宋体" w:hAnsi="宋体" w:eastAsia="仿宋_GB2312" w:cs="Times New Roman"/>
          <w:sz w:val="32"/>
          <w:szCs w:val="32"/>
          <w:lang w:val="en-US" w:eastAsia="zh-CN"/>
        </w:rPr>
        <w:t>0.11</w:t>
      </w:r>
      <w:r>
        <w:rPr>
          <w:rFonts w:hint="eastAsia" w:ascii="宋体" w:hAnsi="宋体" w:eastAsia="仿宋_GB2312" w:cs="Times New Roman"/>
          <w:sz w:val="32"/>
          <w:szCs w:val="32"/>
        </w:rPr>
        <w:t>%；其他城乡社区公共设施支出支出</w:t>
      </w:r>
      <w:r>
        <w:rPr>
          <w:rFonts w:hint="eastAsia" w:ascii="宋体" w:hAnsi="宋体" w:eastAsia="仿宋_GB2312" w:cs="Times New Roman"/>
          <w:sz w:val="32"/>
          <w:szCs w:val="32"/>
          <w:lang w:val="en-US" w:eastAsia="zh-CN"/>
        </w:rPr>
        <w:t>1564万元，占比0.89%。</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年度一般公共预算财政拨款支出当年调整预算数1604.13万元，支出决算为</w:t>
      </w:r>
      <w:r>
        <w:rPr>
          <w:rFonts w:hint="eastAsia" w:ascii="仿宋" w:hAnsi="仿宋" w:eastAsia="仿宋" w:cs="仿宋"/>
          <w:sz w:val="32"/>
          <w:szCs w:val="32"/>
        </w:rPr>
        <w:t>1604.13</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19.77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19.17</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19.17</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0.6</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0.6</w:t>
      </w:r>
      <w:r>
        <w:rPr>
          <w:rFonts w:hint="eastAsia" w:ascii="宋体" w:hAnsi="宋体" w:eastAsia="仿宋_GB2312" w:cs="Times New Roman"/>
          <w:sz w:val="32"/>
          <w:szCs w:val="32"/>
        </w:rPr>
        <w:t>万元和资本性支出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val="en-US" w:eastAsia="zh-CN"/>
        </w:rPr>
        <w:t>本单位来无三公经费，与2020年度无变化。</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年政府性基金预算财政拨款本年收入34705.39万元，本年支出34705.39万元。具体支出情况如下:</w:t>
      </w:r>
    </w:p>
    <w:p>
      <w:pPr>
        <w:numPr>
          <w:ilvl w:val="0"/>
          <w:numId w:val="3"/>
        </w:numPr>
        <w:spacing w:line="204" w:lineRule="auto"/>
        <w:ind w:firstLine="667"/>
        <w:jc w:val="left"/>
        <w:rPr>
          <w:rFonts w:hint="eastAsia" w:ascii="方正仿宋_GB2312" w:hAnsi="方正仿宋_GB2312" w:eastAsia="方正仿宋_GB2312" w:cs="方正仿宋_GB2312"/>
          <w:sz w:val="32"/>
          <w:szCs w:val="32"/>
          <w:lang w:val="en-US" w:eastAsia="zh-CN"/>
        </w:rPr>
      </w:pPr>
      <w:r>
        <w:rPr>
          <w:rFonts w:hint="eastAsia" w:ascii="宋体" w:hAnsi="宋体" w:eastAsia="仿宋_GB2312" w:cs="Times New Roman"/>
          <w:sz w:val="32"/>
          <w:szCs w:val="32"/>
        </w:rPr>
        <w:t>城乡社区支出科目(</w:t>
      </w:r>
      <w:r>
        <w:rPr>
          <w:rFonts w:hint="eastAsia" w:ascii="宋体" w:hAnsi="宋体" w:eastAsia="仿宋_GB2312" w:cs="Times New Roman"/>
          <w:sz w:val="32"/>
          <w:szCs w:val="32"/>
          <w:lang w:val="en-US" w:eastAsia="zh-CN"/>
        </w:rPr>
        <w:t>212</w:t>
      </w:r>
      <w:r>
        <w:rPr>
          <w:rFonts w:hint="eastAsia" w:ascii="宋体" w:hAnsi="宋体" w:eastAsia="仿宋_GB2312" w:cs="Times New Roman"/>
          <w:sz w:val="32"/>
          <w:szCs w:val="32"/>
        </w:rPr>
        <w:t>类)国有土地使用权出让收入安排的支出科目(</w:t>
      </w:r>
      <w:r>
        <w:rPr>
          <w:rFonts w:hint="eastAsia" w:ascii="宋体" w:hAnsi="宋体" w:eastAsia="仿宋_GB2312" w:cs="Times New Roman"/>
          <w:sz w:val="32"/>
          <w:szCs w:val="32"/>
          <w:lang w:val="en-US" w:eastAsia="zh-CN"/>
        </w:rPr>
        <w:t>08</w:t>
      </w:r>
      <w:r>
        <w:rPr>
          <w:rFonts w:hint="eastAsia" w:ascii="宋体" w:hAnsi="宋体" w:eastAsia="仿宋_GB2312" w:cs="Times New Roman"/>
          <w:sz w:val="32"/>
          <w:szCs w:val="32"/>
        </w:rPr>
        <w:t>款)征地和拆迁补偿支出科目(</w:t>
      </w:r>
      <w:r>
        <w:rPr>
          <w:rFonts w:hint="eastAsia" w:ascii="宋体" w:hAnsi="宋体" w:eastAsia="仿宋_GB2312" w:cs="Times New Roman"/>
          <w:sz w:val="32"/>
          <w:szCs w:val="32"/>
          <w:lang w:val="en-US" w:eastAsia="zh-CN"/>
        </w:rPr>
        <w:t>01</w:t>
      </w:r>
      <w:r>
        <w:rPr>
          <w:rFonts w:hint="eastAsia" w:ascii="宋体" w:hAnsi="宋体" w:eastAsia="仿宋_GB2312" w:cs="Times New Roman"/>
          <w:sz w:val="32"/>
          <w:szCs w:val="32"/>
        </w:rPr>
        <w:t>项)财政拨款支出24686.39万元，主要是用于征地和拆迁补偿支出</w:t>
      </w:r>
      <w:r>
        <w:rPr>
          <w:rFonts w:hint="eastAsia" w:ascii="宋体" w:hAnsi="宋体" w:eastAsia="仿宋_GB2312" w:cs="Times New Roman"/>
          <w:sz w:val="32"/>
          <w:szCs w:val="32"/>
          <w:lang w:val="en-US" w:eastAsia="zh-CN"/>
        </w:rPr>
        <w:t>24686.3862万元；(1)张家河、雒儿庄、南泉三村拆迁支出5000万元；（2）老城遗留片区征收资金5000万元；（3）老城征收资金3000万元；（4）朔州市朔城区北旺庄街道张家河棚户区征收补偿安置3000万元；（5）退还山西北星实业有限责任公司土地补偿款709.16万元；（6）拨付老城遗留11处院落征收资金230.84万元；（7）退还丰泰铝业垫付的土地征收补偿等费用1840.9万元；（8）</w:t>
      </w:r>
      <w:r>
        <w:rPr>
          <w:rFonts w:hint="eastAsia" w:ascii="方正仿宋_GB2312" w:hAnsi="方正仿宋_GB2312" w:eastAsia="方正仿宋_GB2312" w:cs="方正仿宋_GB2312"/>
          <w:sz w:val="32"/>
          <w:szCs w:val="32"/>
          <w:lang w:val="en-US" w:eastAsia="zh-CN"/>
        </w:rPr>
        <w:t>退还山西朔芳亚麻纺织有限公司征地补偿款105.485万元；（9）退还朔州市万通源房地产开发有限公司代征收费用1300万元；（10）拨付朔州市万通源房地产开发有限公司代征收费用1500万元；（11）朔城区北旺庄街道张家河村棚户区征收补偿安置项目3000万元。</w:t>
      </w:r>
    </w:p>
    <w:p>
      <w:pPr>
        <w:numPr>
          <w:ilvl w:val="0"/>
          <w:numId w:val="3"/>
        </w:num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城乡社区支出科目(</w:t>
      </w:r>
      <w:r>
        <w:rPr>
          <w:rFonts w:hint="eastAsia" w:ascii="宋体" w:hAnsi="宋体" w:eastAsia="仿宋_GB2312" w:cs="Times New Roman"/>
          <w:sz w:val="32"/>
          <w:szCs w:val="32"/>
          <w:lang w:val="en-US" w:eastAsia="zh-CN"/>
        </w:rPr>
        <w:t>212</w:t>
      </w:r>
      <w:r>
        <w:rPr>
          <w:rFonts w:hint="eastAsia" w:ascii="宋体" w:hAnsi="宋体" w:eastAsia="仿宋_GB2312" w:cs="Times New Roman"/>
          <w:sz w:val="32"/>
          <w:szCs w:val="32"/>
        </w:rPr>
        <w:t>类)国有土地使用权出让收入安排的支出科目(</w:t>
      </w:r>
      <w:r>
        <w:rPr>
          <w:rFonts w:hint="eastAsia" w:ascii="宋体" w:hAnsi="宋体" w:eastAsia="仿宋_GB2312" w:cs="Times New Roman"/>
          <w:sz w:val="32"/>
          <w:szCs w:val="32"/>
          <w:lang w:val="en-US" w:eastAsia="zh-CN"/>
        </w:rPr>
        <w:t>08</w:t>
      </w:r>
      <w:r>
        <w:rPr>
          <w:rFonts w:hint="eastAsia" w:ascii="宋体" w:hAnsi="宋体" w:eastAsia="仿宋_GB2312" w:cs="Times New Roman"/>
          <w:sz w:val="32"/>
          <w:szCs w:val="32"/>
        </w:rPr>
        <w:t>款) 其他国有土地使用权出让收入安排的支出科目(</w:t>
      </w:r>
      <w:r>
        <w:rPr>
          <w:rFonts w:hint="eastAsia" w:ascii="宋体" w:hAnsi="宋体" w:eastAsia="仿宋_GB2312" w:cs="Times New Roman"/>
          <w:sz w:val="32"/>
          <w:szCs w:val="32"/>
          <w:lang w:val="en-US" w:eastAsia="zh-CN"/>
        </w:rPr>
        <w:t>99</w:t>
      </w:r>
      <w:r>
        <w:rPr>
          <w:rFonts w:hint="eastAsia" w:ascii="宋体" w:hAnsi="宋体" w:eastAsia="仿宋_GB2312" w:cs="Times New Roman"/>
          <w:sz w:val="32"/>
          <w:szCs w:val="32"/>
        </w:rPr>
        <w:t>项)财政拨款支出10019万元，主要是用于</w:t>
      </w:r>
      <w:r>
        <w:rPr>
          <w:rFonts w:hint="eastAsia" w:ascii="方正仿宋_GB2312" w:hAnsi="方正仿宋_GB2312" w:eastAsia="方正仿宋_GB2312" w:cs="方正仿宋_GB2312"/>
          <w:sz w:val="32"/>
          <w:szCs w:val="32"/>
          <w:lang w:val="en-US" w:eastAsia="zh-CN"/>
        </w:rPr>
        <w:t>其他国有土地使用权出让收入安排的支出10019万元：（1）准池总部基地项目土地及附着物征收资金1720万元；（2）退还朔州市森杰房地产公司建设同安小区安置被征收户2900万元；（3）退还朔州市森杰房地产公司征收金三角棚户区垫付的征收资金1069万元；（4）朔州市森杰房地产开发有限公司在开发南路东侧拓宽改造垫付资金715万元；（5）朔州市万鑫房地产开发有限公司垫付征收资金274万元；（6）朔州市森杰房地产开发有限公司建设同顺小区退款3341万元。</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0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color w:val="auto"/>
          <w:spacing w:val="0"/>
          <w:sz w:val="30"/>
          <w:szCs w:val="30"/>
          <w:rtl w:val="0"/>
        </w:rPr>
        <w:t>本单位无机关运行经费。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b w:val="0"/>
          <w:color w:val="000000"/>
          <w:spacing w:val="0"/>
          <w:sz w:val="32"/>
          <w:szCs w:val="32"/>
          <w:rtl w:val="0"/>
        </w:rPr>
        <w:t>本单位今年无政府采购。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台（套）。无国有资产占用情况的部门，须说明本部门无国有资产占用情况。</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方正仿宋_GB2312" w:hAnsi="方正仿宋_GB2312" w:eastAsia="方正仿宋_GB2312" w:cs="方正仿宋_GB2312"/>
          <w:sz w:val="32"/>
          <w:szCs w:val="32"/>
          <w:lang w:val="en-US" w:eastAsia="zh-CN"/>
        </w:rPr>
        <w:t>2021年未展开绩效评价</w:t>
      </w:r>
      <w:r>
        <w:rPr>
          <w:rFonts w:hint="eastAsia" w:ascii="方正仿宋_GB2312" w:hAnsi="方正仿宋_GB2312" w:eastAsia="方正仿宋_GB2312" w:cs="方正仿宋_GB2312"/>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bookmarkStart w:id="22" w:name="_GoBack"/>
      <w:bookmarkEnd w:id="22"/>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0032"/>
    <w:multiLevelType w:val="singleLevel"/>
    <w:tmpl w:val="02140032"/>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jM5NmY5OTVjYWFlYTFiYmFlYTVjYjhlNjAzYjQifQ=="/>
  </w:docVars>
  <w:rsids>
    <w:rsidRoot w:val="7E3F0B7D"/>
    <w:rsid w:val="000014A7"/>
    <w:rsid w:val="00052B5B"/>
    <w:rsid w:val="00774AFB"/>
    <w:rsid w:val="00E4217F"/>
    <w:rsid w:val="08E9690F"/>
    <w:rsid w:val="0E115DFD"/>
    <w:rsid w:val="11D27EAE"/>
    <w:rsid w:val="13081A4E"/>
    <w:rsid w:val="17E65D2A"/>
    <w:rsid w:val="193D5AE6"/>
    <w:rsid w:val="1C7F5BD5"/>
    <w:rsid w:val="1DF409A0"/>
    <w:rsid w:val="1EBE04BC"/>
    <w:rsid w:val="1F5C142D"/>
    <w:rsid w:val="20D97C1B"/>
    <w:rsid w:val="23553F43"/>
    <w:rsid w:val="299664C8"/>
    <w:rsid w:val="2BAD0D8B"/>
    <w:rsid w:val="2ED263FD"/>
    <w:rsid w:val="2FBD2DB7"/>
    <w:rsid w:val="33677F01"/>
    <w:rsid w:val="382B7E8D"/>
    <w:rsid w:val="3AD74C0A"/>
    <w:rsid w:val="3B65791E"/>
    <w:rsid w:val="3F28132A"/>
    <w:rsid w:val="49221B6F"/>
    <w:rsid w:val="4E9E194D"/>
    <w:rsid w:val="509F192D"/>
    <w:rsid w:val="5250560B"/>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2769</Words>
  <Characters>3075</Characters>
  <Lines>5</Lines>
  <Paragraphs>7</Paragraphs>
  <TotalTime>7</TotalTime>
  <ScaleCrop>false</ScaleCrop>
  <LinksUpToDate>false</LinksUpToDate>
  <CharactersWithSpaces>3132</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2022-09-15T00:55:11Z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9A1B6BB1637C48919465243167DE10CC</vt:lpwstr>
  </property>
</Properties>
</file>