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朔州市朔城区能源局</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jc w:val="left"/>
        <w:rPr>
          <w:rFonts w:hint="eastAsia" w:ascii="黑体" w:eastAsia="黑体"/>
          <w:sz w:val="32"/>
          <w:szCs w:val="32"/>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spacing w:line="800" w:lineRule="exact"/>
        <w:ind w:firstLine="320" w:firstLineChars="100"/>
        <w:jc w:val="left"/>
        <w:rPr>
          <w:rFonts w:hint="eastAsia" w:ascii="仿宋_GB2312" w:eastAsia="仿宋_GB2312"/>
          <w:b w:val="0"/>
          <w:bCs/>
          <w:sz w:val="32"/>
          <w:szCs w:val="32"/>
          <w:lang w:val="en-US" w:eastAsia="zh-CN"/>
        </w:rPr>
      </w:pPr>
      <w:r>
        <w:rPr>
          <w:rFonts w:hint="eastAsia" w:ascii="仿宋_GB2312" w:eastAsia="仿宋_GB2312"/>
          <w:b w:val="0"/>
          <w:bCs/>
          <w:sz w:val="32"/>
          <w:szCs w:val="32"/>
        </w:rPr>
        <w:t>（一）</w:t>
      </w:r>
      <w:r>
        <w:rPr>
          <w:rFonts w:hint="eastAsia" w:ascii="仿宋_GB2312" w:eastAsia="仿宋_GB2312"/>
          <w:b w:val="0"/>
          <w:bCs/>
          <w:sz w:val="32"/>
          <w:szCs w:val="32"/>
          <w:lang w:val="en-US" w:eastAsia="zh-CN"/>
        </w:rPr>
        <w:t>部门职能</w:t>
      </w:r>
    </w:p>
    <w:p>
      <w:pPr>
        <w:pStyle w:val="2"/>
        <w:jc w:val="left"/>
        <w:rPr>
          <w:rFonts w:hint="default"/>
          <w:lang w:val="en-US" w:eastAsia="zh-CN"/>
        </w:rPr>
      </w:pPr>
      <w:r>
        <w:rPr>
          <w:rFonts w:hint="eastAsia" w:ascii="仿宋_GB2312" w:eastAsia="仿宋_GB2312"/>
          <w:b w:val="0"/>
          <w:bCs/>
          <w:sz w:val="32"/>
          <w:szCs w:val="32"/>
          <w:lang w:val="en-US" w:eastAsia="zh-CN"/>
        </w:rPr>
        <w:t>（二）机构设置内设情况</w:t>
      </w:r>
    </w:p>
    <w:p>
      <w:pPr>
        <w:pStyle w:val="8"/>
        <w:tabs>
          <w:tab w:val="right" w:leader="dot" w:pos="8336"/>
        </w:tabs>
        <w:spacing w:line="360" w:lineRule="auto"/>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b w:val="0"/>
          <w:bCs/>
          <w:color w:val="000000"/>
          <w:kern w:val="0"/>
          <w:sz w:val="32"/>
          <w:szCs w:val="32"/>
          <w:lang w:val="en-US" w:eastAsia="zh-CN"/>
        </w:rPr>
      </w:pPr>
      <w:r>
        <w:rPr>
          <w:rFonts w:hint="eastAsia" w:ascii="仿宋_GB2312" w:hAnsi="宋体" w:eastAsia="仿宋_GB2312" w:cs="宋体"/>
          <w:b w:val="0"/>
          <w:bCs/>
          <w:color w:val="000000"/>
          <w:kern w:val="0"/>
          <w:sz w:val="32"/>
          <w:szCs w:val="32"/>
        </w:rPr>
        <w:t>1、</w:t>
      </w:r>
      <w:r>
        <w:rPr>
          <w:rFonts w:hint="eastAsia" w:ascii="仿宋_GB2312" w:hAnsi="宋体" w:eastAsia="仿宋_GB2312" w:cs="宋体"/>
          <w:b w:val="0"/>
          <w:bCs/>
          <w:color w:val="000000"/>
          <w:kern w:val="0"/>
          <w:sz w:val="32"/>
          <w:szCs w:val="32"/>
          <w:lang w:val="en-US" w:eastAsia="zh-CN"/>
        </w:rPr>
        <w:t>负责审批、标准、审核煤炭、电石油、天然气新能源和再生能源投资项目。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b w:val="0"/>
          <w:bCs/>
          <w:color w:val="000000"/>
          <w:kern w:val="0"/>
          <w:sz w:val="32"/>
          <w:szCs w:val="32"/>
        </w:rPr>
      </w:pPr>
      <w:r>
        <w:rPr>
          <w:rFonts w:hint="eastAsia" w:ascii="仿宋_GB2312" w:hAnsi="宋体" w:eastAsia="仿宋_GB2312" w:cs="宋体"/>
          <w:b w:val="0"/>
          <w:bCs/>
          <w:color w:val="000000"/>
          <w:kern w:val="0"/>
          <w:sz w:val="32"/>
          <w:szCs w:val="32"/>
        </w:rPr>
        <w:t>2</w:t>
      </w:r>
      <w:r>
        <w:rPr>
          <w:rFonts w:hint="eastAsia" w:ascii="仿宋_GB2312" w:hAnsi="宋体" w:eastAsia="仿宋_GB2312" w:cs="宋体"/>
          <w:b w:val="0"/>
          <w:bCs/>
          <w:color w:val="000000"/>
          <w:kern w:val="0"/>
          <w:sz w:val="32"/>
          <w:szCs w:val="32"/>
          <w:lang w:eastAsia="zh-CN"/>
        </w:rPr>
        <w:t>、</w:t>
      </w:r>
      <w:r>
        <w:rPr>
          <w:rFonts w:hint="eastAsia" w:ascii="仿宋_GB2312" w:hAnsi="宋体" w:eastAsia="仿宋_GB2312" w:cs="宋体"/>
          <w:b w:val="0"/>
          <w:bCs/>
          <w:color w:val="000000"/>
          <w:kern w:val="0"/>
          <w:sz w:val="32"/>
          <w:szCs w:val="32"/>
          <w:lang w:val="en-US" w:eastAsia="zh-CN"/>
        </w:rPr>
        <w:t>负责全区洗选煤场产业布局、改扩建项目初步设计、落实安全监管</w:t>
      </w:r>
      <w:r>
        <w:rPr>
          <w:rFonts w:hint="eastAsia" w:ascii="仿宋_GB2312" w:hAnsi="宋体" w:eastAsia="仿宋_GB2312" w:cs="宋体"/>
          <w:b w:val="0"/>
          <w:bCs/>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b w:val="0"/>
          <w:bCs/>
          <w:color w:val="000000"/>
          <w:kern w:val="0"/>
          <w:sz w:val="32"/>
          <w:szCs w:val="32"/>
        </w:rPr>
      </w:pPr>
      <w:r>
        <w:rPr>
          <w:rFonts w:hint="eastAsia" w:ascii="仿宋_GB2312" w:hAnsi="宋体" w:eastAsia="仿宋_GB2312" w:cs="宋体"/>
          <w:b w:val="0"/>
          <w:bCs/>
          <w:color w:val="000000"/>
          <w:kern w:val="0"/>
          <w:sz w:val="32"/>
          <w:szCs w:val="32"/>
        </w:rPr>
        <w:t>3</w:t>
      </w:r>
      <w:r>
        <w:rPr>
          <w:rFonts w:hint="eastAsia" w:ascii="仿宋_GB2312" w:hAnsi="宋体" w:eastAsia="仿宋_GB2312" w:cs="宋体"/>
          <w:b w:val="0"/>
          <w:bCs/>
          <w:color w:val="000000"/>
          <w:kern w:val="0"/>
          <w:sz w:val="32"/>
          <w:szCs w:val="32"/>
          <w:lang w:eastAsia="zh-CN"/>
        </w:rPr>
        <w:t>、</w:t>
      </w:r>
      <w:r>
        <w:rPr>
          <w:rFonts w:hint="eastAsia" w:ascii="仿宋_GB2312" w:hAnsi="宋体" w:eastAsia="仿宋_GB2312" w:cs="宋体"/>
          <w:b w:val="0"/>
          <w:bCs/>
          <w:color w:val="000000"/>
          <w:kern w:val="0"/>
          <w:sz w:val="32"/>
          <w:szCs w:val="32"/>
          <w:lang w:val="en-US" w:eastAsia="zh-CN"/>
        </w:rPr>
        <w:t>负责新能源可再生能源和农村能源发展改革相关工作</w:t>
      </w:r>
      <w:r>
        <w:rPr>
          <w:rFonts w:hint="eastAsia" w:ascii="仿宋_GB2312" w:hAnsi="宋体" w:eastAsia="仿宋_GB2312" w:cs="宋体"/>
          <w:b w:val="0"/>
          <w:bCs/>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黑体" w:eastAsia="仿宋_GB2312"/>
          <w:b w:val="0"/>
          <w:bCs/>
          <w:sz w:val="32"/>
          <w:szCs w:val="32"/>
          <w:lang w:val="en-US" w:eastAsia="zh-CN"/>
        </w:rPr>
      </w:pPr>
      <w:r>
        <w:rPr>
          <w:rFonts w:hint="eastAsia" w:ascii="仿宋_GB2312" w:hAnsi="宋体" w:eastAsia="仿宋_GB2312" w:cs="宋体"/>
          <w:b w:val="0"/>
          <w:bCs/>
          <w:color w:val="000000"/>
          <w:kern w:val="0"/>
          <w:sz w:val="32"/>
          <w:szCs w:val="32"/>
          <w:lang w:val="en-US" w:eastAsia="zh-CN"/>
        </w:rPr>
        <w:t>4</w:t>
      </w:r>
      <w:r>
        <w:rPr>
          <w:rFonts w:hint="eastAsia" w:ascii="仿宋_GB2312" w:hAnsi="宋体" w:eastAsia="仿宋_GB2312" w:cs="宋体"/>
          <w:b w:val="0"/>
          <w:bCs/>
          <w:color w:val="000000"/>
          <w:kern w:val="0"/>
          <w:sz w:val="32"/>
          <w:szCs w:val="32"/>
        </w:rPr>
        <w:t>、</w:t>
      </w:r>
      <w:r>
        <w:rPr>
          <w:rFonts w:hint="eastAsia" w:ascii="仿宋_GB2312" w:hAnsi="宋体" w:eastAsia="仿宋_GB2312" w:cs="宋体"/>
          <w:b w:val="0"/>
          <w:bCs/>
          <w:color w:val="000000"/>
          <w:kern w:val="0"/>
          <w:sz w:val="32"/>
          <w:szCs w:val="32"/>
          <w:lang w:val="en-US" w:eastAsia="zh-CN"/>
        </w:rPr>
        <w:t>承担电力企业及各电厂的属地安全监管。</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（二）机构设置</w:t>
      </w:r>
      <w:r>
        <w:rPr>
          <w:rFonts w:hint="eastAsia" w:ascii="仿宋_GB2312" w:eastAsia="仿宋_GB2312"/>
          <w:b w:val="0"/>
          <w:bCs/>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eastAsia="仿宋_GB2312"/>
          <w:b w:val="0"/>
          <w:bCs/>
          <w:sz w:val="32"/>
          <w:szCs w:val="32"/>
          <w:lang w:val="en-US" w:eastAsia="zh-CN"/>
        </w:rPr>
      </w:pPr>
      <w:r>
        <w:rPr>
          <w:rFonts w:hint="eastAsia" w:ascii="仿宋_GB2312" w:eastAsia="仿宋_GB2312"/>
          <w:b w:val="0"/>
          <w:bCs/>
          <w:sz w:val="32"/>
          <w:szCs w:val="32"/>
          <w:lang w:eastAsia="zh-CN"/>
        </w:rPr>
        <w:t>我单位设置</w:t>
      </w:r>
      <w:r>
        <w:rPr>
          <w:rFonts w:hint="eastAsia" w:ascii="仿宋_GB2312" w:eastAsia="仿宋_GB2312"/>
          <w:b w:val="0"/>
          <w:bCs/>
          <w:sz w:val="32"/>
          <w:szCs w:val="32"/>
          <w:lang w:val="en-US" w:eastAsia="zh-CN"/>
        </w:rPr>
        <w:t>六个</w:t>
      </w:r>
      <w:r>
        <w:rPr>
          <w:rFonts w:hint="eastAsia" w:ascii="仿宋_GB2312" w:eastAsia="仿宋_GB2312"/>
          <w:b w:val="0"/>
          <w:bCs/>
          <w:sz w:val="32"/>
          <w:szCs w:val="32"/>
          <w:lang w:eastAsia="zh-CN"/>
        </w:rPr>
        <w:t>股室，分别是</w:t>
      </w:r>
      <w:r>
        <w:rPr>
          <w:rFonts w:hint="eastAsia" w:ascii="仿宋_GB2312" w:eastAsia="仿宋_GB2312"/>
          <w:b w:val="0"/>
          <w:bCs/>
          <w:sz w:val="32"/>
          <w:szCs w:val="32"/>
          <w:lang w:val="en-US" w:eastAsia="zh-CN"/>
        </w:rPr>
        <w:t>综合股，职能是承办党组会议，推进本单位精神文明建设；发展规划股，职能是组织推进能源交流合作，石油、天然气储备规划；煤炭行业股，职能是对洗选煤场项目标准初步设计，贯彻执行相关生产技术规范、规程和标准；电力与新能源股，职能是协调新能源、可再生能源、农村电网和农村能源发展；信息监测与能源清洁利用股，职能是统筹推进能源领域信息化工作，指导清洁能源高效利用工作；稽查监督股，职能是牵头组织能源领域行政执法和执法监督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宋体" w:hAnsi="宋体" w:eastAsia="仿宋_GB2312" w:cs="Times New Roman"/>
          <w:sz w:val="32"/>
          <w:szCs w:val="32"/>
        </w:rPr>
      </w:pPr>
      <w:r>
        <w:rPr>
          <w:rFonts w:hint="eastAsia" w:ascii="仿宋_GB2312" w:eastAsia="仿宋_GB2312"/>
          <w:b w:val="0"/>
          <w:bCs/>
          <w:sz w:val="32"/>
          <w:szCs w:val="32"/>
          <w:lang w:eastAsia="zh-CN"/>
        </w:rPr>
        <w:t>我单位为一级单位，</w:t>
      </w:r>
      <w:r>
        <w:rPr>
          <w:rFonts w:hint="eastAsia" w:ascii="仿宋_GB2312" w:eastAsia="仿宋_GB2312"/>
          <w:b w:val="0"/>
          <w:bCs/>
          <w:sz w:val="32"/>
          <w:szCs w:val="32"/>
          <w:lang w:val="en-US" w:eastAsia="zh-CN"/>
        </w:rPr>
        <w:t>无</w:t>
      </w:r>
      <w:r>
        <w:rPr>
          <w:rFonts w:hint="eastAsia" w:ascii="仿宋_GB2312" w:eastAsia="仿宋_GB2312"/>
          <w:b w:val="0"/>
          <w:bCs/>
          <w:sz w:val="32"/>
          <w:szCs w:val="32"/>
          <w:lang w:eastAsia="zh-CN"/>
        </w:rPr>
        <w:t>下属二级单位</w:t>
      </w:r>
      <w:r>
        <w:rPr>
          <w:rFonts w:hint="eastAsia" w:ascii="仿宋_GB2312" w:eastAsia="仿宋_GB2312"/>
          <w:b w:val="0"/>
          <w:bCs/>
          <w:sz w:val="32"/>
          <w:szCs w:val="32"/>
          <w:lang w:val="en-US" w:eastAsia="zh-CN"/>
        </w:rPr>
        <w:t>。</w:t>
      </w:r>
      <w:r>
        <w:rPr>
          <w:rFonts w:hint="eastAsia" w:ascii="仿宋" w:hAnsi="仿宋" w:eastAsia="仿宋" w:cs="仿宋"/>
          <w:sz w:val="32"/>
          <w:szCs w:val="32"/>
        </w:rPr>
        <w:t xml:space="preserve">                          </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4976.67</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4976.67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4727.69</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4727.69</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煤改电项目款增多。</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4976.67</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4976.67</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4976.67</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241.57</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4735.1</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default" w:ascii="宋体" w:hAnsi="宋体" w:eastAsia="仿宋_GB2312" w:cs="Times New Roman"/>
          <w:sz w:val="32"/>
          <w:szCs w:val="32"/>
          <w:lang w:val="en-US" w:eastAsia="zh-CN"/>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4976.67</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4976.67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年相比，财政拨款收入总计增加（减</w:t>
      </w:r>
      <w:r>
        <w:rPr>
          <w:rFonts w:hint="eastAsia" w:ascii="宋体" w:hAnsi="宋体" w:eastAsia="仿宋_GB2312" w:cs="Times New Roman"/>
          <w:sz w:val="32"/>
          <w:szCs w:val="32"/>
          <w:lang w:val="en-US" w:eastAsia="zh-CN"/>
        </w:rPr>
        <w:t>4727.697</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18.9</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增加清洁取暖煤改电项目。</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4976.67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4727.697</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增加清洁取暖煤改电项目。</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default" w:ascii="仿宋" w:hAnsi="仿宋" w:eastAsia="仿宋_GB2312" w:cs="仿宋"/>
          <w:sz w:val="32"/>
          <w:szCs w:val="32"/>
          <w:lang w:val="en-US" w:eastAsia="zh-CN"/>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4976.67</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2069999其他科学技术支出0.10万元，占比0%；2110301大气支出3733.29万元，占比75.02%；2111401行政运行支出170.56万元，占比3.43%；2111403机关服务支出71.01万元，占比1.43%；2111499其他能源管理事务支出999.71万元，占比20.09%；229999其他支出2万元，占比0.03%。</w:t>
      </w:r>
      <w:r>
        <w:rPr>
          <w:rFonts w:hint="eastAsia" w:ascii="宋体" w:hAnsi="宋体" w:eastAsia="仿宋_GB2312" w:cs="Times New Roman"/>
          <w:sz w:val="32"/>
          <w:szCs w:val="32"/>
          <w:lang w:val="en-US" w:eastAsia="zh-CN"/>
        </w:rPr>
        <w:tab/>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3694.31</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4976.67</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74.23</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宋体" w:hAnsi="宋体" w:eastAsia="仿宋_GB2312" w:cs="Times New Roman"/>
          <w:sz w:val="32"/>
          <w:szCs w:val="32"/>
          <w:lang w:val="en-US" w:eastAsia="zh-CN"/>
        </w:rPr>
        <w:t>241.57</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230.26</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164.67</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65.59</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11.31</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11.31</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与同年预算相比增加</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宋体" w:hAnsi="宋体" w:eastAsia="仿宋_GB2312" w:cs="Times New Roman"/>
          <w:sz w:val="32"/>
          <w:szCs w:val="32"/>
        </w:rPr>
        <w:t>增加</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万元；公务用车运行维护费</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办公费10.55</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年增加</w:t>
      </w:r>
      <w:r>
        <w:rPr>
          <w:rFonts w:hint="eastAsia" w:ascii="宋体" w:hAnsi="宋体" w:eastAsia="仿宋_GB2312" w:cs="Times New Roman"/>
          <w:sz w:val="32"/>
          <w:szCs w:val="32"/>
          <w:lang w:val="en-US" w:eastAsia="zh-CN"/>
        </w:rPr>
        <w:t>6.82</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64</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成立清洁取暖办购置办公用品</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项目绩效评价工作开展情况，包括项目绩效目标、支出绩效评价等情况。</w:t>
      </w:r>
    </w:p>
    <w:p>
      <w:pPr>
        <w:ind w:firstLine="640" w:firstLineChars="200"/>
        <w:rPr>
          <w:rFonts w:hint="default" w:ascii="仿宋_GB2312" w:hAnsi="仿宋_GB2312" w:eastAsia="仿宋_GB2312" w:cs="仿宋_GB2312"/>
          <w:color w:val="000000"/>
          <w:kern w:val="0"/>
          <w:sz w:val="31"/>
          <w:szCs w:val="31"/>
          <w:lang w:val="en-US" w:eastAsia="zh-CN"/>
        </w:rPr>
      </w:pPr>
      <w:bookmarkStart w:id="22" w:name="_GoBack"/>
      <w:bookmarkEnd w:id="2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年度单位</w:t>
      </w:r>
      <w:r>
        <w:rPr>
          <w:rFonts w:hint="eastAsia" w:ascii="宋体" w:hAnsi="宋体" w:eastAsia="仿宋_GB2312" w:cs="Times New Roman"/>
          <w:sz w:val="32"/>
          <w:szCs w:val="32"/>
          <w:lang w:val="en-US" w:eastAsia="zh-CN"/>
        </w:rPr>
        <w:t>未开展绩效评价。</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TgxZmQ2ODMzNTRjZGExZDUyY2YyNzdmY2IxM2EifQ=="/>
  </w:docVars>
  <w:rsids>
    <w:rsidRoot w:val="7E3F0B7D"/>
    <w:rsid w:val="000014A7"/>
    <w:rsid w:val="00052B5B"/>
    <w:rsid w:val="00774AFB"/>
    <w:rsid w:val="00E4217F"/>
    <w:rsid w:val="0E115DFD"/>
    <w:rsid w:val="0E135B66"/>
    <w:rsid w:val="11D27EAE"/>
    <w:rsid w:val="19C01B25"/>
    <w:rsid w:val="1EAB51FE"/>
    <w:rsid w:val="20D97C1B"/>
    <w:rsid w:val="23553F43"/>
    <w:rsid w:val="299664C8"/>
    <w:rsid w:val="2ACF1EDD"/>
    <w:rsid w:val="332E4356"/>
    <w:rsid w:val="38F03846"/>
    <w:rsid w:val="3A037563"/>
    <w:rsid w:val="3F28132A"/>
    <w:rsid w:val="43B972BD"/>
    <w:rsid w:val="46AA218C"/>
    <w:rsid w:val="47BE31A6"/>
    <w:rsid w:val="49221B6F"/>
    <w:rsid w:val="522946D1"/>
    <w:rsid w:val="53DF2F0D"/>
    <w:rsid w:val="5F851E46"/>
    <w:rsid w:val="650F7E5F"/>
    <w:rsid w:val="6544153D"/>
    <w:rsid w:val="68CD37BD"/>
    <w:rsid w:val="6AE826D6"/>
    <w:rsid w:val="6C940C35"/>
    <w:rsid w:val="6E312DAB"/>
    <w:rsid w:val="702677CF"/>
    <w:rsid w:val="70F96FBA"/>
    <w:rsid w:val="7CD2122F"/>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3198</Words>
  <Characters>3396</Characters>
  <Lines>5</Lines>
  <Paragraphs>7</Paragraphs>
  <TotalTime>65</TotalTime>
  <ScaleCrop>false</ScaleCrop>
  <LinksUpToDate>false</LinksUpToDate>
  <CharactersWithSpaces>3458</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2022-09-14T00:59:17Z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5681B17E4EA24C6B914D8D67D1145130</vt:lpwstr>
  </property>
</Properties>
</file>