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8"/>
          <w:szCs w:val="48"/>
        </w:rPr>
      </w:pPr>
    </w:p>
    <w:p>
      <w:pPr>
        <w:jc w:val="center"/>
        <w:rPr>
          <w:rFonts w:hint="eastAsia" w:ascii="黑体" w:eastAsia="黑体"/>
          <w:sz w:val="44"/>
          <w:szCs w:val="44"/>
          <w:lang w:eastAsia="zh-CN"/>
        </w:rPr>
      </w:pPr>
      <w:r>
        <w:rPr>
          <w:rFonts w:hint="eastAsia" w:ascii="黑体" w:eastAsia="黑体"/>
          <w:sz w:val="44"/>
          <w:szCs w:val="44"/>
          <w:lang w:eastAsia="zh-CN"/>
        </w:rPr>
        <w:t>朔州市朔城区商务局</w:t>
      </w:r>
    </w:p>
    <w:p>
      <w:pPr>
        <w:jc w:val="center"/>
        <w:rPr>
          <w:rFonts w:ascii="黑体" w:eastAsia="黑体"/>
          <w:sz w:val="44"/>
          <w:szCs w:val="44"/>
        </w:rPr>
      </w:pPr>
      <w:r>
        <w:rPr>
          <w:rFonts w:hint="eastAsia" w:ascii="黑体" w:eastAsia="黑体"/>
          <w:sz w:val="44"/>
          <w:szCs w:val="44"/>
        </w:rPr>
        <w:t>202</w:t>
      </w:r>
      <w:r>
        <w:rPr>
          <w:rFonts w:hint="eastAsia" w:ascii="黑体" w:eastAsia="黑体"/>
          <w:sz w:val="44"/>
          <w:szCs w:val="44"/>
          <w:lang w:val="en-US" w:eastAsia="zh-CN"/>
        </w:rPr>
        <w:t>1</w:t>
      </w:r>
      <w:r>
        <w:rPr>
          <w:rFonts w:hint="eastAsia" w:ascii="黑体" w:eastAsia="黑体"/>
          <w:sz w:val="44"/>
          <w:szCs w:val="44"/>
        </w:rPr>
        <w:t>年部门决算公开情况说明</w:t>
      </w:r>
    </w:p>
    <w:p>
      <w:pPr>
        <w:spacing w:line="360" w:lineRule="auto"/>
        <w:jc w:val="center"/>
        <w:rPr>
          <w:rFonts w:ascii="宋体" w:hAnsi="宋体" w:cs="宋体"/>
          <w:sz w:val="44"/>
          <w:szCs w:val="44"/>
        </w:rPr>
      </w:pPr>
      <w:bookmarkStart w:id="0" w:name="_Toc4691_WPSOffice_Level1"/>
      <w:bookmarkStart w:id="1" w:name="_Toc8044_WPSOffice_Level1"/>
    </w:p>
    <w:p>
      <w:pPr>
        <w:pStyle w:val="2"/>
      </w:pPr>
    </w:p>
    <w:p>
      <w:pPr>
        <w:spacing w:line="360" w:lineRule="auto"/>
        <w:jc w:val="center"/>
        <w:rPr>
          <w:rFonts w:ascii="宋体" w:hAnsi="宋体" w:cs="宋体"/>
          <w:sz w:val="44"/>
          <w:szCs w:val="44"/>
        </w:rPr>
      </w:pPr>
      <w:r>
        <w:rPr>
          <w:rFonts w:hint="eastAsia" w:ascii="宋体" w:hAnsi="宋体" w:cs="宋体"/>
          <w:sz w:val="44"/>
          <w:szCs w:val="44"/>
        </w:rPr>
        <w:t>目录</w:t>
      </w:r>
    </w:p>
    <w:p>
      <w:pPr>
        <w:pStyle w:val="9"/>
        <w:tabs>
          <w:tab w:val="right" w:leader="dot" w:pos="8336"/>
        </w:tabs>
        <w:spacing w:line="360" w:lineRule="auto"/>
        <w:ind w:firstLine="600" w:firstLineChars="200"/>
        <w:rPr>
          <w:rFonts w:ascii="宋体" w:hAnsi="宋体" w:cs="宋体"/>
          <w:b/>
          <w:sz w:val="30"/>
          <w:szCs w:val="30"/>
        </w:rPr>
      </w:pPr>
      <w:r>
        <w:rPr>
          <w:rFonts w:hint="eastAsia" w:ascii="宋体" w:hAnsi="宋体" w:cs="宋体"/>
          <w:sz w:val="30"/>
          <w:szCs w:val="30"/>
        </w:rPr>
        <w:fldChar w:fldCharType="begin"/>
      </w:r>
      <w:r>
        <w:rPr>
          <w:rFonts w:hint="eastAsia" w:ascii="宋体" w:hAnsi="宋体" w:cs="宋体"/>
          <w:sz w:val="30"/>
          <w:szCs w:val="30"/>
        </w:rPr>
        <w:instrText xml:space="preserve">TOC \o "1-2" \h \u </w:instrText>
      </w:r>
      <w:r>
        <w:rPr>
          <w:rFonts w:hint="eastAsia" w:ascii="宋体" w:hAnsi="宋体" w:cs="宋体"/>
          <w:sz w:val="30"/>
          <w:szCs w:val="30"/>
        </w:rPr>
        <w:fldChar w:fldCharType="separate"/>
      </w:r>
      <w:r>
        <w:fldChar w:fldCharType="begin"/>
      </w:r>
      <w:r>
        <w:instrText xml:space="preserve"> HYPERLINK \l "_Toc13618" </w:instrText>
      </w:r>
      <w:r>
        <w:fldChar w:fldCharType="separate"/>
      </w:r>
      <w:r>
        <w:fldChar w:fldCharType="end"/>
      </w:r>
      <w:r>
        <w:fldChar w:fldCharType="begin"/>
      </w:r>
      <w:r>
        <w:instrText xml:space="preserve"> HYPERLINK \l "_Toc5949" </w:instrText>
      </w:r>
      <w:r>
        <w:fldChar w:fldCharType="separate"/>
      </w:r>
      <w:r>
        <w:rPr>
          <w:rFonts w:hint="eastAsia" w:ascii="宋体" w:hAnsi="宋体" w:cs="宋体"/>
          <w:b/>
          <w:snapToGrid w:val="0"/>
          <w:spacing w:val="-4"/>
          <w:sz w:val="30"/>
          <w:szCs w:val="30"/>
        </w:rPr>
        <w:t>一、单位概况</w:t>
      </w:r>
      <w:r>
        <w:rPr>
          <w:rFonts w:hint="eastAsia" w:ascii="宋体" w:hAnsi="宋体" w:cs="宋体"/>
          <w:b/>
          <w:snapToGrid w:val="0"/>
          <w:spacing w:val="-4"/>
          <w:sz w:val="30"/>
          <w:szCs w:val="30"/>
        </w:rPr>
        <w:fldChar w:fldCharType="end"/>
      </w:r>
    </w:p>
    <w:p>
      <w:pPr>
        <w:pStyle w:val="10"/>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（一）部门职责。</w:t>
      </w:r>
    </w:p>
    <w:p>
      <w:pPr>
        <w:pStyle w:val="10"/>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（二）机构设置。</w:t>
      </w:r>
    </w:p>
    <w:p>
      <w:pPr>
        <w:pStyle w:val="9"/>
        <w:tabs>
          <w:tab w:val="right" w:leader="dot" w:pos="8336"/>
        </w:tabs>
        <w:spacing w:line="360" w:lineRule="auto"/>
        <w:ind w:firstLine="600" w:firstLineChars="300"/>
        <w:rPr>
          <w:rFonts w:ascii="宋体" w:hAnsi="宋体" w:cs="宋体"/>
          <w:b/>
          <w:sz w:val="30"/>
          <w:szCs w:val="30"/>
        </w:rPr>
      </w:pPr>
      <w:r>
        <w:fldChar w:fldCharType="begin"/>
      </w:r>
      <w:r>
        <w:instrText xml:space="preserve"> HYPERLINK \l "_Toc21204" </w:instrText>
      </w:r>
      <w:r>
        <w:fldChar w:fldCharType="separate"/>
      </w:r>
      <w:r>
        <w:rPr>
          <w:rFonts w:hint="eastAsia" w:ascii="宋体" w:hAnsi="宋体" w:cs="宋体"/>
          <w:b/>
          <w:snapToGrid w:val="0"/>
          <w:spacing w:val="-4"/>
          <w:sz w:val="30"/>
          <w:szCs w:val="30"/>
        </w:rPr>
        <w:t>二、</w:t>
      </w:r>
      <w:r>
        <w:rPr>
          <w:rFonts w:hint="eastAsia" w:ascii="宋体" w:hAnsi="宋体" w:cs="宋体"/>
          <w:b/>
          <w:snapToGrid w:val="0"/>
          <w:spacing w:val="-4"/>
          <w:sz w:val="30"/>
          <w:szCs w:val="30"/>
        </w:rPr>
        <w:fldChar w:fldCharType="end"/>
      </w:r>
      <w:r>
        <w:rPr>
          <w:rFonts w:hint="eastAsia" w:ascii="宋体" w:hAnsi="宋体" w:cs="宋体"/>
          <w:b/>
          <w:sz w:val="30"/>
          <w:szCs w:val="30"/>
        </w:rPr>
        <w:t>202</w:t>
      </w:r>
      <w:r>
        <w:rPr>
          <w:rFonts w:hint="eastAsia" w:ascii="宋体" w:hAnsi="宋体" w:cs="宋体"/>
          <w:b/>
          <w:sz w:val="30"/>
          <w:szCs w:val="30"/>
          <w:lang w:val="en-US" w:eastAsia="zh-CN"/>
        </w:rPr>
        <w:t>1</w:t>
      </w:r>
      <w:r>
        <w:rPr>
          <w:rFonts w:hint="eastAsia" w:ascii="宋体" w:hAnsi="宋体" w:cs="宋体"/>
          <w:b/>
          <w:sz w:val="30"/>
          <w:szCs w:val="30"/>
        </w:rPr>
        <w:t>年度部门决算公开报表</w:t>
      </w:r>
    </w:p>
    <w:p>
      <w:pPr>
        <w:pStyle w:val="9"/>
        <w:tabs>
          <w:tab w:val="right" w:leader="dot" w:pos="8336"/>
        </w:tabs>
        <w:spacing w:line="360" w:lineRule="auto"/>
        <w:ind w:firstLine="602" w:firstLineChars="200"/>
        <w:rPr>
          <w:rFonts w:ascii="宋体" w:hAnsi="宋体" w:cs="宋体"/>
          <w:b/>
          <w:sz w:val="30"/>
          <w:szCs w:val="30"/>
        </w:rPr>
      </w:pPr>
      <w:r>
        <w:rPr>
          <w:rFonts w:hint="eastAsia" w:ascii="宋体" w:hAnsi="宋体" w:cs="宋体"/>
          <w:b/>
          <w:sz w:val="30"/>
          <w:szCs w:val="30"/>
        </w:rPr>
        <w:t>三、202</w:t>
      </w:r>
      <w:r>
        <w:rPr>
          <w:rFonts w:hint="eastAsia" w:ascii="宋体" w:hAnsi="宋体" w:cs="宋体"/>
          <w:b/>
          <w:sz w:val="30"/>
          <w:szCs w:val="30"/>
          <w:lang w:val="en-US" w:eastAsia="zh-CN"/>
        </w:rPr>
        <w:t>1</w:t>
      </w:r>
      <w:r>
        <w:rPr>
          <w:rFonts w:hint="eastAsia" w:ascii="宋体" w:hAnsi="宋体" w:cs="宋体"/>
          <w:b/>
          <w:sz w:val="30"/>
          <w:szCs w:val="30"/>
        </w:rPr>
        <w:t>年度部门决算情况说明</w:t>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（一）</w:t>
      </w:r>
      <w:r>
        <w:fldChar w:fldCharType="begin"/>
      </w:r>
      <w:r>
        <w:instrText xml:space="preserve"> HYPERLINK \l "_Toc8341" </w:instrText>
      </w:r>
      <w:r>
        <w:fldChar w:fldCharType="separate"/>
      </w:r>
      <w:r>
        <w:rPr>
          <w:rFonts w:hint="eastAsia" w:ascii="宋体" w:hAnsi="宋体" w:cs="宋体"/>
          <w:spacing w:val="-3"/>
          <w:sz w:val="30"/>
          <w:szCs w:val="30"/>
        </w:rPr>
        <w:t>收入支出决算总体情况说明</w:t>
      </w:r>
      <w:r>
        <w:rPr>
          <w:rFonts w:hint="eastAsia" w:ascii="宋体" w:hAnsi="宋体" w:cs="宋体"/>
          <w:spacing w:val="-3"/>
          <w:sz w:val="30"/>
          <w:szCs w:val="30"/>
        </w:rPr>
        <w:fldChar w:fldCharType="end"/>
      </w:r>
      <w:r>
        <w:rPr>
          <w:rFonts w:hint="eastAsia" w:ascii="宋体" w:hAnsi="宋体" w:cs="宋体"/>
          <w:sz w:val="30"/>
          <w:szCs w:val="30"/>
        </w:rPr>
        <w:t>。</w:t>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（二）</w:t>
      </w:r>
      <w:r>
        <w:fldChar w:fldCharType="begin"/>
      </w:r>
      <w:r>
        <w:instrText xml:space="preserve"> HYPERLINK \l "_Toc748" </w:instrText>
      </w:r>
      <w:r>
        <w:fldChar w:fldCharType="separate"/>
      </w:r>
      <w:r>
        <w:rPr>
          <w:rFonts w:hint="eastAsia" w:ascii="宋体" w:hAnsi="宋体" w:cs="宋体"/>
          <w:spacing w:val="-3"/>
          <w:sz w:val="30"/>
          <w:szCs w:val="30"/>
        </w:rPr>
        <w:t>收入决算情况说明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（三）</w:t>
      </w:r>
      <w:r>
        <w:fldChar w:fldCharType="begin"/>
      </w:r>
      <w:r>
        <w:instrText xml:space="preserve"> HYPERLINK \l "_Toc6782" </w:instrText>
      </w:r>
      <w:r>
        <w:fldChar w:fldCharType="separate"/>
      </w:r>
      <w:r>
        <w:rPr>
          <w:rFonts w:hint="eastAsia" w:ascii="宋体" w:hAnsi="宋体" w:cs="宋体"/>
          <w:spacing w:val="-3"/>
          <w:sz w:val="30"/>
          <w:szCs w:val="30"/>
        </w:rPr>
        <w:t>支出决算情况说明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（四）</w:t>
      </w:r>
      <w:r>
        <w:fldChar w:fldCharType="begin"/>
      </w:r>
      <w:r>
        <w:instrText xml:space="preserve"> HYPERLINK \l "_Toc14644" </w:instrText>
      </w:r>
      <w:r>
        <w:fldChar w:fldCharType="separate"/>
      </w:r>
      <w:r>
        <w:rPr>
          <w:rFonts w:hint="eastAsia" w:ascii="宋体" w:hAnsi="宋体" w:cs="宋体"/>
          <w:spacing w:val="-3"/>
          <w:sz w:val="30"/>
          <w:szCs w:val="30"/>
        </w:rPr>
        <w:t>财政拨款收入支出决算总体情况说明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（五）</w:t>
      </w:r>
      <w:r>
        <w:fldChar w:fldCharType="begin"/>
      </w:r>
      <w:r>
        <w:instrText xml:space="preserve"> HYPERLINK \l "_Toc2367" </w:instrText>
      </w:r>
      <w:r>
        <w:fldChar w:fldCharType="separate"/>
      </w:r>
      <w:r>
        <w:rPr>
          <w:rFonts w:hint="eastAsia" w:ascii="宋体" w:hAnsi="宋体" w:cs="宋体"/>
          <w:spacing w:val="-3"/>
          <w:sz w:val="30"/>
          <w:szCs w:val="30"/>
        </w:rPr>
        <w:t>一般公共预算财政拨款支出决算情况说明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（六）</w:t>
      </w:r>
      <w:r>
        <w:fldChar w:fldCharType="begin"/>
      </w:r>
      <w:r>
        <w:instrText xml:space="preserve"> HYPERLINK \l "_Toc16205" </w:instrText>
      </w:r>
      <w:r>
        <w:fldChar w:fldCharType="separate"/>
      </w:r>
      <w:r>
        <w:rPr>
          <w:rFonts w:hint="eastAsia" w:ascii="宋体" w:hAnsi="宋体" w:cs="宋体"/>
          <w:spacing w:val="-3"/>
          <w:sz w:val="30"/>
          <w:szCs w:val="30"/>
        </w:rPr>
        <w:t>一般公共预算财政拨款基本支出决算情况说明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（七）</w:t>
      </w:r>
      <w:r>
        <w:fldChar w:fldCharType="begin"/>
      </w:r>
      <w:r>
        <w:instrText xml:space="preserve"> HYPERLINK \l "_Toc27268" </w:instrText>
      </w:r>
      <w:r>
        <w:fldChar w:fldCharType="separate"/>
      </w:r>
      <w:r>
        <w:rPr>
          <w:rFonts w:hint="eastAsia" w:ascii="宋体" w:hAnsi="宋体" w:cs="宋体"/>
          <w:spacing w:val="-3"/>
          <w:sz w:val="30"/>
          <w:szCs w:val="30"/>
        </w:rPr>
        <w:t>一般公共预算财政拨款“三公”经费支出决算情况说明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（八）</w:t>
      </w:r>
      <w:r>
        <w:fldChar w:fldCharType="begin"/>
      </w:r>
      <w:r>
        <w:instrText xml:space="preserve"> HYPERLINK \l "_Toc233" </w:instrText>
      </w:r>
      <w:r>
        <w:fldChar w:fldCharType="separate"/>
      </w:r>
      <w:r>
        <w:rPr>
          <w:rFonts w:hint="eastAsia" w:ascii="宋体" w:hAnsi="宋体" w:cs="宋体"/>
          <w:spacing w:val="-3"/>
          <w:sz w:val="30"/>
          <w:szCs w:val="30"/>
        </w:rPr>
        <w:t>政府性基金预算收入支出决算情况说明</w:t>
      </w:r>
      <w:r>
        <w:rPr>
          <w:rFonts w:hint="eastAsia" w:ascii="宋体" w:hAnsi="宋体" w:cs="宋体"/>
          <w:sz w:val="30"/>
          <w:szCs w:val="30"/>
        </w:rPr>
        <w:t>。</w:t>
      </w:r>
      <w:r>
        <w:rPr>
          <w:rFonts w:hint="eastAsia" w:ascii="宋体" w:hAnsi="宋体" w:cs="宋体"/>
          <w:sz w:val="30"/>
          <w:szCs w:val="30"/>
        </w:rPr>
        <w:fldChar w:fldCharType="end"/>
      </w:r>
    </w:p>
    <w:p>
      <w:pPr>
        <w:pStyle w:val="10"/>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（九）</w:t>
      </w:r>
      <w:r>
        <w:fldChar w:fldCharType="begin"/>
      </w:r>
      <w:r>
        <w:instrText xml:space="preserve"> HYPERLINK \l "_Toc13584" </w:instrText>
      </w:r>
      <w:r>
        <w:fldChar w:fldCharType="separate"/>
      </w:r>
      <w:r>
        <w:rPr>
          <w:rFonts w:hint="eastAsia" w:ascii="宋体" w:hAnsi="宋体" w:cs="宋体"/>
          <w:spacing w:val="-3"/>
          <w:sz w:val="30"/>
          <w:szCs w:val="30"/>
        </w:rPr>
        <w:t>其他重要事项的情况说明</w:t>
      </w:r>
      <w:r>
        <w:rPr>
          <w:rFonts w:hint="eastAsia" w:ascii="宋体" w:hAnsi="宋体" w:cs="宋体"/>
          <w:sz w:val="30"/>
          <w:szCs w:val="30"/>
        </w:rPr>
        <w:t>。</w:t>
      </w:r>
      <w:r>
        <w:rPr>
          <w:rFonts w:hint="eastAsia" w:ascii="宋体" w:hAnsi="宋体" w:cs="宋体"/>
          <w:sz w:val="30"/>
          <w:szCs w:val="30"/>
        </w:rPr>
        <w:fldChar w:fldCharType="end"/>
      </w:r>
    </w:p>
    <w:p>
      <w:pPr>
        <w:pStyle w:val="9"/>
        <w:tabs>
          <w:tab w:val="right" w:leader="dot" w:pos="8336"/>
        </w:tabs>
        <w:spacing w:line="360" w:lineRule="auto"/>
        <w:ind w:firstLine="300" w:firstLineChars="150"/>
        <w:rPr>
          <w:rFonts w:ascii="宋体" w:hAnsi="宋体" w:cs="宋体"/>
          <w:b/>
          <w:sz w:val="30"/>
          <w:szCs w:val="30"/>
        </w:rPr>
      </w:pPr>
      <w:r>
        <w:fldChar w:fldCharType="begin"/>
      </w:r>
      <w:r>
        <w:instrText xml:space="preserve"> HYPERLINK \l "_Toc13389" </w:instrText>
      </w:r>
      <w:r>
        <w:fldChar w:fldCharType="separate"/>
      </w:r>
      <w:r>
        <w:rPr>
          <w:rFonts w:hint="eastAsia" w:ascii="宋体" w:hAnsi="宋体" w:cs="宋体"/>
          <w:b/>
          <w:snapToGrid w:val="0"/>
          <w:spacing w:val="-4"/>
          <w:sz w:val="30"/>
          <w:szCs w:val="30"/>
        </w:rPr>
        <w:t>四、 名词解释</w:t>
      </w:r>
      <w:r>
        <w:rPr>
          <w:rFonts w:hint="eastAsia" w:ascii="宋体" w:hAnsi="宋体" w:cs="宋体"/>
          <w:b/>
          <w:snapToGrid w:val="0"/>
          <w:spacing w:val="-4"/>
          <w:sz w:val="30"/>
          <w:szCs w:val="30"/>
        </w:rPr>
        <w:fldChar w:fldCharType="end"/>
      </w:r>
    </w:p>
    <w:p>
      <w:pPr>
        <w:ind w:firstLine="3614" w:firstLineChars="1200"/>
        <w:rPr>
          <w:rFonts w:ascii="宋体" w:hAnsi="宋体" w:cs="宋体"/>
          <w:b/>
          <w:sz w:val="30"/>
          <w:szCs w:val="30"/>
        </w:rPr>
      </w:pPr>
      <w:r>
        <w:rPr>
          <w:rFonts w:hint="eastAsia" w:ascii="宋体" w:hAnsi="宋体" w:cs="宋体"/>
          <w:b/>
          <w:sz w:val="30"/>
          <w:szCs w:val="30"/>
        </w:rPr>
        <w:fldChar w:fldCharType="end"/>
      </w:r>
    </w:p>
    <w:p>
      <w:pPr>
        <w:ind w:firstLine="3744" w:firstLineChars="1200"/>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第一部分</w:t>
      </w:r>
      <w:r>
        <w:rPr>
          <w:rFonts w:ascii="黑体" w:hAnsi="黑体" w:eastAsia="黑体" w:cs="黑体"/>
          <w:snapToGrid w:val="0"/>
          <w:color w:val="000000"/>
          <w:spacing w:val="-4"/>
          <w:kern w:val="0"/>
          <w:sz w:val="32"/>
          <w:szCs w:val="32"/>
        </w:rPr>
        <w:t>概况</w:t>
      </w:r>
      <w:bookmarkEnd w:id="0"/>
      <w:bookmarkEnd w:id="1"/>
    </w:p>
    <w:p>
      <w:pPr>
        <w:numPr>
          <w:ilvl w:val="0"/>
          <w:numId w:val="1"/>
        </w:numPr>
        <w:rPr>
          <w:rFonts w:ascii="仿宋" w:hAnsi="仿宋" w:eastAsia="仿宋" w:cs="仿宋"/>
          <w:sz w:val="32"/>
          <w:szCs w:val="32"/>
        </w:rPr>
      </w:pPr>
      <w:bookmarkStart w:id="2" w:name="_Toc7430_WPSOffice_Level1"/>
      <w:r>
        <w:rPr>
          <w:rFonts w:hint="eastAsia" w:ascii="仿宋" w:hAnsi="仿宋" w:eastAsia="仿宋" w:cs="仿宋"/>
          <w:sz w:val="32"/>
          <w:szCs w:val="32"/>
        </w:rPr>
        <w:t>主要职能职责</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商务局转变商务管理职能，强化商务发展规划、运行监测和信息发布职能，主动服务新技术新产业新业态发展，进一步优化营商环境，推动贸易与投资自由化便利化，促进开放型经济和商贸流通业高质量发展。大力加强效能建设，进一步优化行政流程，加大政务公开力度，提高商务公共服务能力与水平</w:t>
      </w:r>
      <w:r>
        <w:rPr>
          <w:rFonts w:hint="eastAsia" w:ascii="宋体" w:hAnsi="宋体" w:eastAsia="仿宋_GB2312" w:cs="Times New Roman"/>
          <w:sz w:val="32"/>
          <w:szCs w:val="32"/>
          <w:lang w:eastAsia="zh-CN"/>
        </w:rPr>
        <w:t>。</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根据授权，贯彻落实促进商贸企业发展的有关政策措施，负责区商贸企业发展促进工作；负责全区社会消费品零售总额统计工作；按归口负责中心商贸企业服务平台有关工作；承担区属商贸改制企业“双协解”职工后续管理及移交社区工作。</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（一）</w:t>
      </w:r>
      <w:r>
        <w:rPr>
          <w:rFonts w:hint="eastAsia" w:ascii="宋体" w:hAnsi="宋体" w:eastAsia="仿宋_GB2312" w:cs="Times New Roman"/>
          <w:sz w:val="32"/>
          <w:szCs w:val="32"/>
          <w:lang w:eastAsia="zh-CN"/>
        </w:rPr>
        <w:t>协助主管部门做好</w:t>
      </w:r>
      <w:r>
        <w:rPr>
          <w:rFonts w:hint="eastAsia" w:ascii="宋体" w:hAnsi="宋体" w:eastAsia="仿宋_GB2312" w:cs="Times New Roman"/>
          <w:sz w:val="32"/>
          <w:szCs w:val="32"/>
        </w:rPr>
        <w:t>工业园区的筹备、组建工作。</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（二）负责组织工业园区总体规划和详细规划的编制工作，并按规定审批或报批，制定和组织实施经批准后的工业园区发展规划。</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（三）负责工业园区内招商引资和对外经济技术交流与合作。</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（四）负责对工业园区内的企业进行服务、指导、监督和管理。</w:t>
      </w:r>
    </w:p>
    <w:p>
      <w:pPr>
        <w:spacing w:line="204" w:lineRule="auto"/>
        <w:ind w:firstLine="667"/>
        <w:jc w:val="left"/>
        <w:rPr>
          <w:rFonts w:hint="eastAsia" w:ascii="宋体" w:hAnsi="宋体" w:eastAsia="仿宋_GB2312" w:cs="Times New Roman"/>
          <w:sz w:val="32"/>
          <w:szCs w:val="32"/>
        </w:rPr>
      </w:pPr>
      <w:r>
        <w:rPr>
          <w:rFonts w:hint="eastAsia" w:ascii="宋体" w:hAnsi="宋体" w:eastAsia="仿宋_GB2312" w:cs="Times New Roman"/>
          <w:sz w:val="32"/>
          <w:szCs w:val="32"/>
        </w:rPr>
        <w:t>（五）</w:t>
      </w:r>
      <w:r>
        <w:rPr>
          <w:rFonts w:hint="eastAsia" w:ascii="宋体" w:hAnsi="宋体" w:eastAsia="仿宋_GB2312" w:cs="Times New Roman"/>
          <w:sz w:val="32"/>
          <w:szCs w:val="32"/>
          <w:lang w:eastAsia="zh-CN"/>
        </w:rPr>
        <w:t>协助主管部门</w:t>
      </w:r>
      <w:r>
        <w:rPr>
          <w:rFonts w:hint="eastAsia" w:ascii="宋体" w:hAnsi="宋体" w:eastAsia="仿宋_GB2312" w:cs="Times New Roman"/>
          <w:sz w:val="32"/>
          <w:szCs w:val="32"/>
        </w:rPr>
        <w:t>工业园区土地开发和园区内各项</w:t>
      </w:r>
      <w:r>
        <w:rPr>
          <w:rFonts w:hint="eastAsia" w:ascii="宋体" w:hAnsi="宋体" w:eastAsia="仿宋_GB2312" w:cs="Times New Roman"/>
          <w:sz w:val="32"/>
          <w:szCs w:val="32"/>
        </w:rPr>
        <w:fldChar w:fldCharType="begin"/>
      </w:r>
      <w:r>
        <w:rPr>
          <w:rFonts w:hint="eastAsia" w:ascii="宋体" w:hAnsi="宋体" w:eastAsia="仿宋_GB2312" w:cs="Times New Roman"/>
          <w:sz w:val="32"/>
          <w:szCs w:val="32"/>
        </w:rPr>
        <w:instrText xml:space="preserve"> HYPERLINK "https://baike.so.com/doc/1802444.html" \t "_blank" </w:instrText>
      </w:r>
      <w:r>
        <w:rPr>
          <w:rFonts w:hint="eastAsia" w:ascii="宋体" w:hAnsi="宋体" w:eastAsia="仿宋_GB2312" w:cs="Times New Roman"/>
          <w:sz w:val="32"/>
          <w:szCs w:val="32"/>
        </w:rPr>
        <w:fldChar w:fldCharType="separate"/>
      </w:r>
      <w:r>
        <w:rPr>
          <w:rFonts w:hint="eastAsia" w:ascii="宋体" w:hAnsi="宋体" w:eastAsia="仿宋_GB2312" w:cs="Times New Roman"/>
          <w:sz w:val="32"/>
          <w:szCs w:val="32"/>
        </w:rPr>
        <w:t>基础设施</w:t>
      </w:r>
      <w:r>
        <w:rPr>
          <w:rFonts w:hint="eastAsia" w:ascii="宋体" w:hAnsi="宋体" w:eastAsia="仿宋_GB2312" w:cs="Times New Roman"/>
          <w:sz w:val="32"/>
          <w:szCs w:val="32"/>
        </w:rPr>
        <w:fldChar w:fldCharType="end"/>
      </w:r>
      <w:r>
        <w:rPr>
          <w:rFonts w:hint="eastAsia" w:ascii="宋体" w:hAnsi="宋体" w:eastAsia="仿宋_GB2312" w:cs="Times New Roman"/>
          <w:sz w:val="32"/>
          <w:szCs w:val="32"/>
        </w:rPr>
        <w:t>建设，管理工业园区内的公共设施和</w:t>
      </w:r>
      <w:r>
        <w:rPr>
          <w:rFonts w:hint="eastAsia" w:ascii="宋体" w:hAnsi="宋体" w:eastAsia="仿宋_GB2312" w:cs="Times New Roman"/>
          <w:sz w:val="32"/>
          <w:szCs w:val="32"/>
        </w:rPr>
        <w:fldChar w:fldCharType="begin"/>
      </w:r>
      <w:r>
        <w:rPr>
          <w:rFonts w:hint="eastAsia" w:ascii="宋体" w:hAnsi="宋体" w:eastAsia="仿宋_GB2312" w:cs="Times New Roman"/>
          <w:sz w:val="32"/>
          <w:szCs w:val="32"/>
        </w:rPr>
        <w:instrText xml:space="preserve"> HYPERLINK "https://baike.so.com/doc/6616312.html" \t "_blank" </w:instrText>
      </w:r>
      <w:r>
        <w:rPr>
          <w:rFonts w:hint="eastAsia" w:ascii="宋体" w:hAnsi="宋体" w:eastAsia="仿宋_GB2312" w:cs="Times New Roman"/>
          <w:sz w:val="32"/>
          <w:szCs w:val="32"/>
        </w:rPr>
        <w:fldChar w:fldCharType="separate"/>
      </w:r>
      <w:r>
        <w:rPr>
          <w:rFonts w:hint="eastAsia" w:ascii="宋体" w:hAnsi="宋体" w:eastAsia="仿宋_GB2312" w:cs="Times New Roman"/>
          <w:sz w:val="32"/>
          <w:szCs w:val="32"/>
        </w:rPr>
        <w:t>公益事业</w:t>
      </w:r>
      <w:r>
        <w:rPr>
          <w:rFonts w:hint="eastAsia" w:ascii="宋体" w:hAnsi="宋体" w:eastAsia="仿宋_GB2312" w:cs="Times New Roman"/>
          <w:sz w:val="32"/>
          <w:szCs w:val="32"/>
        </w:rPr>
        <w:fldChar w:fldCharType="end"/>
      </w:r>
      <w:r>
        <w:rPr>
          <w:rFonts w:hint="eastAsia" w:ascii="宋体" w:hAnsi="宋体" w:eastAsia="仿宋_GB2312" w:cs="Times New Roman"/>
          <w:sz w:val="32"/>
          <w:szCs w:val="32"/>
        </w:rPr>
        <w:t>。</w:t>
      </w:r>
    </w:p>
    <w:p>
      <w:pPr>
        <w:spacing w:line="204" w:lineRule="auto"/>
        <w:ind w:firstLine="667"/>
        <w:jc w:val="left"/>
        <w:rPr>
          <w:rFonts w:ascii="仿宋" w:hAnsi="仿宋" w:eastAsia="仿宋" w:cs="仿宋"/>
          <w:sz w:val="32"/>
          <w:szCs w:val="32"/>
        </w:rPr>
      </w:pPr>
      <w:r>
        <w:rPr>
          <w:rFonts w:hint="eastAsia" w:ascii="宋体" w:hAnsi="宋体" w:eastAsia="仿宋_GB2312" w:cs="Times New Roman"/>
          <w:sz w:val="32"/>
          <w:szCs w:val="32"/>
        </w:rPr>
        <w:t xml:space="preserve">（六）完成区委、区政府交办的其他工作任务，承担区商务局机关交办的其他工作。 </w:t>
      </w:r>
      <w:r>
        <w:rPr>
          <w:rFonts w:hint="eastAsia" w:ascii="仿宋" w:hAnsi="仿宋" w:eastAsia="仿宋" w:cs="仿宋"/>
          <w:sz w:val="32"/>
          <w:szCs w:val="32"/>
        </w:rPr>
        <w:t xml:space="preserve">                           </w:t>
      </w:r>
    </w:p>
    <w:p>
      <w:pPr>
        <w:numPr>
          <w:ilvl w:val="0"/>
          <w:numId w:val="1"/>
        </w:numPr>
        <w:rPr>
          <w:rFonts w:ascii="仿宋" w:hAnsi="仿宋" w:eastAsia="仿宋" w:cs="仿宋"/>
          <w:sz w:val="32"/>
          <w:szCs w:val="32"/>
        </w:rPr>
      </w:pPr>
      <w:r>
        <w:rPr>
          <w:rFonts w:hint="eastAsia" w:ascii="仿宋" w:hAnsi="仿宋" w:eastAsia="仿宋" w:cs="仿宋"/>
          <w:sz w:val="32"/>
          <w:szCs w:val="32"/>
        </w:rPr>
        <w:t>部门机构设置</w:t>
      </w:r>
    </w:p>
    <w:p>
      <w:pPr>
        <w:pStyle w:val="2"/>
        <w:numPr>
          <w:ilvl w:val="0"/>
          <w:numId w:val="0"/>
        </w:numPr>
        <w:spacing w:line="600" w:lineRule="exact"/>
        <w:ind w:firstLine="640" w:firstLineChars="20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我单位和部门共设置7个股室，分别是即秘书股，促进外来投资股，商务股，秘书股，招商引资股，企业服务股，基础建设股，职能是：秘书股：负责综合协调机关政务、事务工作，拟定工作制度并督促检查；负责文电、会务、机要、档案、文秘、办公用品采买、接待、车辆、保密、信息报送等日常工作。</w:t>
      </w:r>
    </w:p>
    <w:p>
      <w:pPr>
        <w:numPr>
          <w:ilvl w:val="0"/>
          <w:numId w:val="0"/>
        </w:numPr>
        <w:spacing w:line="660" w:lineRule="exact"/>
        <w:ind w:firstLine="640" w:firstLineChars="20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商务股：商务股。负责成品油管理工作、租赁、典当、预付卡等特许行业的工作；负责二手车交易市场监管；报废汽车回与收拆卸监管；废旧回收、再生资源回收利用安全监管及由此产生的环保方面的工作；负责行业安全监督检查工作；负责商务流通领域的经济运行检测、考核工作；负责全区商贸流通领域行业法律、法规、政策制度、工作任务的宣传贯彻落实工作；负责全区商务工作的调整应急统计等工作；商务行业的改革工作；组织实施及监督检查工作；负责考核工作。完成领导交办的各项工作任务。</w:t>
      </w:r>
    </w:p>
    <w:p>
      <w:pPr>
        <w:numPr>
          <w:ilvl w:val="0"/>
          <w:numId w:val="0"/>
        </w:numPr>
        <w:spacing w:line="660" w:lineRule="exact"/>
        <w:ind w:firstLine="640" w:firstLineChars="20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促进外来投资股：外资建设的相关政策研究、制定方案、项目监管、协调工作；完成领导交办的各项工作任务。</w:t>
      </w:r>
    </w:p>
    <w:p>
      <w:pPr>
        <w:pStyle w:val="2"/>
        <w:ind w:left="0" w:leftChars="0" w:firstLine="0" w:firstLineChars="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部门职能如下：</w:t>
      </w:r>
    </w:p>
    <w:p>
      <w:pPr>
        <w:spacing w:line="600" w:lineRule="exact"/>
        <w:ind w:firstLine="640" w:firstLineChars="200"/>
        <w:jc w:val="left"/>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（一）秘书股</w:t>
      </w:r>
    </w:p>
    <w:p>
      <w:pPr>
        <w:spacing w:line="600" w:lineRule="exact"/>
        <w:ind w:firstLine="640" w:firstLineChars="20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负责本单位日常工作运转，综合协调及机关党建、党务工作等。</w:t>
      </w:r>
    </w:p>
    <w:p>
      <w:pPr>
        <w:spacing w:line="600" w:lineRule="exact"/>
        <w:ind w:firstLine="640" w:firstLineChars="200"/>
        <w:jc w:val="left"/>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 xml:space="preserve">（二）招商引资股  </w:t>
      </w:r>
    </w:p>
    <w:p>
      <w:pPr>
        <w:pStyle w:val="2"/>
        <w:spacing w:line="600" w:lineRule="exact"/>
        <w:ind w:firstLine="640" w:firstLineChars="20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负责园区招商项目策划、征集、编制等并组织实施；建立和完善园区招商引资项目资料库；组织参加国家、省、市等举办的各类招商洽谈会；做好各类招商活动的联络、协调服务工作。</w:t>
      </w:r>
    </w:p>
    <w:p>
      <w:pPr>
        <w:pStyle w:val="2"/>
        <w:numPr>
          <w:ilvl w:val="0"/>
          <w:numId w:val="2"/>
        </w:numPr>
        <w:spacing w:line="600" w:lineRule="exact"/>
        <w:ind w:left="30" w:leftChars="0" w:firstLine="600" w:firstLineChars="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企业服务股</w:t>
      </w:r>
    </w:p>
    <w:p>
      <w:pPr>
        <w:spacing w:line="600" w:lineRule="exact"/>
        <w:ind w:firstLine="640" w:firstLineChars="200"/>
        <w:jc w:val="left"/>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负责园区入驻项目的跟踪服务工作,协助入驻企业办理项目审批、注册、登记等相关手绩;协调解决项目实施过程中的具体问题；对园区内安全、环保等进行统一监督和管理。</w:t>
      </w:r>
    </w:p>
    <w:p>
      <w:pPr>
        <w:pStyle w:val="2"/>
        <w:numPr>
          <w:ilvl w:val="0"/>
          <w:numId w:val="2"/>
        </w:numPr>
        <w:spacing w:line="600" w:lineRule="exact"/>
        <w:ind w:left="30" w:leftChars="0" w:firstLine="600" w:firstLineChars="0"/>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基础建设股</w:t>
      </w:r>
    </w:p>
    <w:p>
      <w:pPr>
        <w:spacing w:line="600" w:lineRule="exact"/>
        <w:ind w:firstLine="640" w:firstLineChars="200"/>
        <w:jc w:val="left"/>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 xml:space="preserve"> 协助主管部门根据工业园区总体规划和土地利用规划，依法进行开发和管理，做好工业园区内各项基础设施和公用设施的建设和管理。                                                                          </w:t>
      </w:r>
    </w:p>
    <w:p>
      <w:pPr>
        <w:keepNext w:val="0"/>
        <w:keepLines w:val="0"/>
        <w:pageBreakBefore w:val="0"/>
        <w:widowControl w:val="0"/>
        <w:kinsoku/>
        <w:wordWrap/>
        <w:overflowPunct/>
        <w:topLinePunct w:val="0"/>
        <w:autoSpaceDE/>
        <w:autoSpaceDN/>
        <w:bidi w:val="0"/>
        <w:adjustRightInd/>
        <w:snapToGrid/>
        <w:spacing w:line="800" w:lineRule="exact"/>
        <w:ind w:firstLine="640" w:firstLineChars="200"/>
        <w:textAlignment w:val="auto"/>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我单位为一级单位，下属二级单位2个，分别是：</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1、1个股站级建制：朔州市朔城区商贸发展促进中心；</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宋体" w:hAnsi="宋体" w:eastAsia="仿宋_GB2312" w:cs="Times New Roman"/>
          <w:kern w:val="2"/>
          <w:sz w:val="32"/>
          <w:szCs w:val="32"/>
          <w:lang w:val="en-US" w:eastAsia="zh-CN" w:bidi="ar-SA"/>
        </w:rPr>
      </w:pPr>
      <w:r>
        <w:rPr>
          <w:rFonts w:hint="eastAsia" w:ascii="宋体" w:hAnsi="宋体" w:eastAsia="仿宋_GB2312" w:cs="Times New Roman"/>
          <w:kern w:val="2"/>
          <w:sz w:val="32"/>
          <w:szCs w:val="32"/>
          <w:lang w:val="en-US" w:eastAsia="zh-CN" w:bidi="ar-SA"/>
        </w:rPr>
        <w:t>2、1个副科级建制：朔州市朔城区工业园区服务中心；</w:t>
      </w:r>
    </w:p>
    <w:p>
      <w:pPr>
        <w:spacing w:line="204" w:lineRule="auto"/>
        <w:ind w:firstLine="640" w:firstLineChars="200"/>
        <w:jc w:val="left"/>
        <w:rPr>
          <w:rFonts w:ascii="宋体" w:hAnsi="宋体" w:eastAsia="仿宋_GB2312" w:cs="Times New Roman"/>
          <w:sz w:val="32"/>
          <w:szCs w:val="32"/>
        </w:rPr>
      </w:pPr>
      <w:r>
        <w:rPr>
          <w:rFonts w:hint="eastAsia" w:ascii="宋体" w:hAnsi="宋体" w:eastAsia="仿宋_GB2312" w:cs="Times New Roman"/>
          <w:sz w:val="32"/>
          <w:szCs w:val="32"/>
          <w:lang w:eastAsia="zh-CN"/>
        </w:rPr>
        <w:t>我</w:t>
      </w:r>
      <w:r>
        <w:rPr>
          <w:rFonts w:hint="eastAsia" w:ascii="宋体" w:hAnsi="宋体" w:eastAsia="仿宋_GB2312" w:cs="Times New Roman"/>
          <w:sz w:val="32"/>
          <w:szCs w:val="32"/>
        </w:rPr>
        <w:t>单位部门决算包括：本级决算、所属</w:t>
      </w:r>
      <w:r>
        <w:rPr>
          <w:rFonts w:hint="eastAsia" w:ascii="宋体" w:hAnsi="宋体" w:eastAsia="仿宋_GB2312" w:cs="Times New Roman"/>
          <w:sz w:val="32"/>
          <w:szCs w:val="32"/>
          <w:lang w:eastAsia="zh-CN"/>
        </w:rPr>
        <w:t>下属</w:t>
      </w:r>
      <w:r>
        <w:rPr>
          <w:rFonts w:hint="eastAsia" w:ascii="宋体" w:hAnsi="宋体" w:eastAsia="仿宋_GB2312" w:cs="Times New Roman"/>
          <w:sz w:val="32"/>
          <w:szCs w:val="32"/>
        </w:rPr>
        <w:t>单位决算。</w:t>
      </w:r>
    </w:p>
    <w:p>
      <w:pPr>
        <w:rPr>
          <w:rFonts w:ascii="仿宋" w:hAnsi="仿宋" w:eastAsia="仿宋" w:cs="仿宋"/>
          <w:sz w:val="32"/>
          <w:szCs w:val="32"/>
        </w:rPr>
      </w:pPr>
    </w:p>
    <w:p>
      <w:pPr>
        <w:pStyle w:val="2"/>
        <w:rPr>
          <w:rFonts w:ascii="仿宋" w:hAnsi="仿宋" w:eastAsia="仿宋" w:cs="仿宋"/>
          <w:sz w:val="32"/>
          <w:szCs w:val="32"/>
        </w:rPr>
      </w:pPr>
    </w:p>
    <w:p>
      <w:pPr>
        <w:pStyle w:val="2"/>
        <w:rPr>
          <w:rFonts w:ascii="仿宋" w:hAnsi="仿宋" w:eastAsia="仿宋" w:cs="仿宋"/>
          <w:sz w:val="32"/>
          <w:szCs w:val="32"/>
        </w:rPr>
      </w:pPr>
      <w:bookmarkStart w:id="22" w:name="_GoBack"/>
      <w:bookmarkEnd w:id="22"/>
    </w:p>
    <w:p>
      <w:pPr>
        <w:jc w:val="center"/>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第二部分202</w:t>
      </w:r>
      <w:r>
        <w:rPr>
          <w:rFonts w:hint="eastAsia" w:ascii="黑体" w:hAnsi="黑体" w:eastAsia="黑体" w:cs="黑体"/>
          <w:snapToGrid w:val="0"/>
          <w:color w:val="000000"/>
          <w:spacing w:val="-4"/>
          <w:kern w:val="0"/>
          <w:sz w:val="32"/>
          <w:szCs w:val="32"/>
          <w:lang w:val="en-US" w:eastAsia="zh-CN"/>
        </w:rPr>
        <w:t>1</w:t>
      </w:r>
      <w:r>
        <w:rPr>
          <w:rFonts w:ascii="黑体" w:hAnsi="黑体" w:eastAsia="黑体" w:cs="黑体"/>
          <w:snapToGrid w:val="0"/>
          <w:color w:val="000000"/>
          <w:spacing w:val="-4"/>
          <w:kern w:val="0"/>
          <w:sz w:val="32"/>
          <w:szCs w:val="32"/>
        </w:rPr>
        <w:t>年度部门决算表</w:t>
      </w:r>
      <w:bookmarkEnd w:id="2"/>
    </w:p>
    <w:p>
      <w:pPr>
        <w:rPr>
          <w:rFonts w:ascii="仿宋" w:hAnsi="仿宋" w:eastAsia="仿宋" w:cs="仿宋"/>
          <w:sz w:val="32"/>
          <w:szCs w:val="32"/>
        </w:rPr>
      </w:pPr>
      <w:r>
        <w:rPr>
          <w:rFonts w:hint="eastAsia" w:ascii="仿宋" w:hAnsi="仿宋" w:eastAsia="仿宋" w:cs="仿宋"/>
          <w:sz w:val="32"/>
          <w:szCs w:val="32"/>
        </w:rPr>
        <w:t>决算公开报表见附件：</w:t>
      </w:r>
    </w:p>
    <w:p>
      <w:pPr>
        <w:jc w:val="center"/>
        <w:rPr>
          <w:rFonts w:ascii="黑体" w:hAnsi="黑体" w:eastAsia="黑体" w:cs="黑体"/>
          <w:snapToGrid w:val="0"/>
          <w:color w:val="000000"/>
          <w:spacing w:val="-4"/>
          <w:kern w:val="0"/>
          <w:sz w:val="32"/>
          <w:szCs w:val="32"/>
        </w:rPr>
      </w:pPr>
      <w:bookmarkStart w:id="3" w:name="_Toc25884_WPSOffice_Level1"/>
      <w:bookmarkStart w:id="4" w:name="_Toc17336_WPSOffice_Level1"/>
      <w:r>
        <w:rPr>
          <w:rFonts w:ascii="黑体" w:hAnsi="黑体" w:eastAsia="黑体" w:cs="黑体"/>
          <w:snapToGrid w:val="0"/>
          <w:color w:val="000000"/>
          <w:spacing w:val="-4"/>
          <w:kern w:val="0"/>
          <w:sz w:val="32"/>
          <w:szCs w:val="32"/>
        </w:rPr>
        <w:t>第三部分</w:t>
      </w:r>
      <w:r>
        <w:rPr>
          <w:rFonts w:hint="eastAsia" w:ascii="黑体" w:hAnsi="黑体" w:eastAsia="黑体" w:cs="黑体"/>
          <w:snapToGrid w:val="0"/>
          <w:color w:val="000000"/>
          <w:spacing w:val="-4"/>
          <w:kern w:val="0"/>
          <w:sz w:val="32"/>
          <w:szCs w:val="32"/>
        </w:rPr>
        <w:t>202</w:t>
      </w:r>
      <w:r>
        <w:rPr>
          <w:rFonts w:hint="eastAsia" w:ascii="黑体" w:hAnsi="黑体" w:eastAsia="黑体" w:cs="黑体"/>
          <w:snapToGrid w:val="0"/>
          <w:color w:val="000000"/>
          <w:spacing w:val="-4"/>
          <w:kern w:val="0"/>
          <w:sz w:val="32"/>
          <w:szCs w:val="32"/>
          <w:lang w:val="en-US" w:eastAsia="zh-CN"/>
        </w:rPr>
        <w:t>1</w:t>
      </w:r>
      <w:r>
        <w:rPr>
          <w:rFonts w:ascii="黑体" w:hAnsi="黑体" w:eastAsia="黑体" w:cs="黑体"/>
          <w:snapToGrid w:val="0"/>
          <w:color w:val="000000"/>
          <w:spacing w:val="-4"/>
          <w:kern w:val="0"/>
          <w:sz w:val="32"/>
          <w:szCs w:val="32"/>
        </w:rPr>
        <w:t>年度部门决算情况说明</w:t>
      </w:r>
      <w:bookmarkEnd w:id="3"/>
      <w:bookmarkEnd w:id="4"/>
    </w:p>
    <w:p>
      <w:pPr>
        <w:numPr>
          <w:ilvl w:val="0"/>
          <w:numId w:val="3"/>
        </w:numPr>
        <w:rPr>
          <w:rFonts w:ascii="仿宋" w:hAnsi="仿宋" w:eastAsia="仿宋" w:cs="仿宋"/>
          <w:sz w:val="32"/>
          <w:szCs w:val="32"/>
        </w:rPr>
      </w:pPr>
      <w:bookmarkStart w:id="5" w:name="_Toc22880_WPSOffice_Level2"/>
      <w:bookmarkStart w:id="6" w:name="_Toc1653_WPSOffice_Level2"/>
      <w:r>
        <w:rPr>
          <w:rFonts w:hint="eastAsia" w:ascii="楷体" w:hAnsi="楷体" w:eastAsia="楷体" w:cs="楷体"/>
          <w:spacing w:val="-3"/>
          <w:sz w:val="32"/>
          <w:szCs w:val="32"/>
        </w:rPr>
        <w:t>收入支出决算总体情况说明</w:t>
      </w:r>
      <w:bookmarkEnd w:id="5"/>
      <w:bookmarkEnd w:id="6"/>
    </w:p>
    <w:p>
      <w:pPr>
        <w:spacing w:line="204" w:lineRule="auto"/>
        <w:ind w:firstLine="667"/>
        <w:jc w:val="left"/>
        <w:rPr>
          <w:rFonts w:hint="default" w:ascii="宋体" w:hAnsi="宋体" w:eastAsia="仿宋_GB2312" w:cs="Times New Roman"/>
          <w:sz w:val="32"/>
          <w:szCs w:val="32"/>
          <w:lang w:val="en-US" w:eastAsia="zh-CN"/>
        </w:rPr>
      </w:pPr>
      <w:bookmarkStart w:id="7" w:name="_Toc14383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 度 收 入 总 计</w:t>
      </w:r>
      <w:r>
        <w:rPr>
          <w:rFonts w:hint="eastAsia" w:ascii="宋体" w:hAnsi="宋体" w:eastAsia="仿宋_GB2312" w:cs="Times New Roman"/>
          <w:sz w:val="32"/>
          <w:szCs w:val="32"/>
          <w:lang w:val="en-US" w:eastAsia="zh-CN"/>
        </w:rPr>
        <w:t>1305.02</w:t>
      </w:r>
      <w:r>
        <w:rPr>
          <w:rFonts w:hint="eastAsia" w:ascii="宋体" w:hAnsi="宋体" w:eastAsia="仿宋_GB2312" w:cs="Times New Roman"/>
          <w:sz w:val="32"/>
          <w:szCs w:val="32"/>
        </w:rPr>
        <w:t>万元 、 支 出 总 计</w:t>
      </w:r>
      <w:r>
        <w:rPr>
          <w:rFonts w:hint="eastAsia" w:ascii="宋体" w:hAnsi="宋体" w:eastAsia="仿宋_GB2312" w:cs="Times New Roman"/>
          <w:sz w:val="32"/>
          <w:szCs w:val="32"/>
          <w:lang w:val="en-US" w:eastAsia="zh-CN"/>
        </w:rPr>
        <w:t>1305.02</w:t>
      </w:r>
      <w:r>
        <w:rPr>
          <w:rFonts w:hint="eastAsia" w:ascii="宋体" w:hAnsi="宋体" w:eastAsia="仿宋_GB2312" w:cs="Times New Roman"/>
          <w:sz w:val="32"/>
          <w:szCs w:val="32"/>
        </w:rPr>
        <w:t xml:space="preserve">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年相比,收入总计增加</w:t>
      </w:r>
      <w:r>
        <w:rPr>
          <w:rFonts w:hint="eastAsia" w:ascii="宋体" w:hAnsi="宋体" w:eastAsia="仿宋_GB2312" w:cs="Times New Roman"/>
          <w:sz w:val="32"/>
          <w:szCs w:val="32"/>
          <w:lang w:val="en-US" w:eastAsia="zh-CN"/>
        </w:rPr>
        <w:t>537.38</w:t>
      </w:r>
      <w:r>
        <w:rPr>
          <w:rFonts w:hint="eastAsia" w:ascii="宋体" w:hAnsi="宋体" w:eastAsia="仿宋_GB2312" w:cs="Times New Roman"/>
          <w:sz w:val="32"/>
          <w:szCs w:val="32"/>
        </w:rPr>
        <w:t>万元，支出总计增加</w:t>
      </w:r>
      <w:r>
        <w:rPr>
          <w:rFonts w:hint="eastAsia" w:ascii="宋体" w:hAnsi="宋体" w:eastAsia="仿宋_GB2312" w:cs="Times New Roman"/>
          <w:sz w:val="32"/>
          <w:szCs w:val="32"/>
          <w:lang w:val="en-US" w:eastAsia="zh-CN"/>
        </w:rPr>
        <w:t>537.38</w:t>
      </w:r>
      <w:r>
        <w:rPr>
          <w:rFonts w:hint="eastAsia" w:ascii="宋体" w:hAnsi="宋体" w:eastAsia="仿宋_GB2312" w:cs="Times New Roman"/>
          <w:sz w:val="32"/>
          <w:szCs w:val="32"/>
        </w:rPr>
        <w:t>万元。主要原因是：</w:t>
      </w:r>
      <w:r>
        <w:rPr>
          <w:rFonts w:hint="eastAsia" w:ascii="宋体" w:hAnsi="宋体" w:eastAsia="仿宋_GB2312" w:cs="Times New Roman"/>
          <w:sz w:val="32"/>
          <w:szCs w:val="32"/>
          <w:lang w:eastAsia="zh-CN"/>
        </w:rPr>
        <w:t>增加数字消费卷项目</w:t>
      </w:r>
      <w:r>
        <w:rPr>
          <w:rFonts w:hint="eastAsia" w:ascii="宋体" w:hAnsi="宋体" w:eastAsia="仿宋_GB2312" w:cs="Times New Roman"/>
          <w:sz w:val="32"/>
          <w:szCs w:val="32"/>
          <w:lang w:val="en-US" w:eastAsia="zh-CN"/>
        </w:rPr>
        <w:t>500万元，退休职工死亡抚恤金60.07万元，企业补助136.72万元，小企业补助25万元，商业服务减少12.46万元，粮油物资储备减少173.47万元（招商引资、委托业务）。</w:t>
      </w:r>
    </w:p>
    <w:p>
      <w:pPr>
        <w:spacing w:line="204" w:lineRule="auto"/>
        <w:jc w:val="left"/>
        <w:rPr>
          <w:rFonts w:ascii="宋体" w:hAnsi="宋体" w:eastAsia="仿宋_GB2312" w:cs="Times New Roman"/>
          <w:sz w:val="32"/>
          <w:szCs w:val="32"/>
        </w:rPr>
      </w:pPr>
      <w:r>
        <w:rPr>
          <w:rFonts w:hint="eastAsia" w:ascii="宋体" w:hAnsi="宋体" w:eastAsia="仿宋_GB2312" w:cs="Times New Roman"/>
          <w:sz w:val="32"/>
          <w:szCs w:val="32"/>
          <w:lang w:eastAsia="zh-CN"/>
        </w:rPr>
        <w:t>死亡抚恤增加</w:t>
      </w:r>
      <w:r>
        <w:rPr>
          <w:rFonts w:hint="eastAsia" w:ascii="宋体" w:hAnsi="宋体" w:eastAsia="仿宋_GB2312" w:cs="Times New Roman"/>
          <w:sz w:val="32"/>
          <w:szCs w:val="32"/>
          <w:lang w:val="en-US" w:eastAsia="zh-CN"/>
        </w:rPr>
        <w:t>17.58万元，项目减少6.2万元，人员变动减少10.13万元。</w:t>
      </w:r>
    </w:p>
    <w:p>
      <w:pPr>
        <w:spacing w:line="204" w:lineRule="auto"/>
        <w:jc w:val="left"/>
        <w:rPr>
          <w:rFonts w:ascii="楷体" w:hAnsi="楷体" w:eastAsia="楷体" w:cs="楷体"/>
          <w:spacing w:val="-2"/>
          <w:sz w:val="32"/>
          <w:szCs w:val="32"/>
        </w:rPr>
      </w:pPr>
      <w:r>
        <w:rPr>
          <w:rFonts w:hint="eastAsia" w:ascii="楷体" w:hAnsi="楷体" w:eastAsia="楷体" w:cs="楷体"/>
          <w:spacing w:val="-3"/>
          <w:sz w:val="32"/>
          <w:szCs w:val="32"/>
        </w:rPr>
        <w:t>二、</w:t>
      </w:r>
      <w:r>
        <w:rPr>
          <w:rFonts w:ascii="楷体" w:hAnsi="楷体" w:eastAsia="楷体" w:cs="楷体"/>
          <w:spacing w:val="-3"/>
          <w:sz w:val="32"/>
          <w:szCs w:val="32"/>
        </w:rPr>
        <w:t>收入决算情况说明</w:t>
      </w:r>
      <w:bookmarkEnd w:id="7"/>
    </w:p>
    <w:p>
      <w:pPr>
        <w:spacing w:line="204" w:lineRule="auto"/>
        <w:ind w:firstLine="667"/>
        <w:jc w:val="left"/>
        <w:rPr>
          <w:rFonts w:ascii="仿宋" w:hAnsi="仿宋" w:eastAsia="仿宋" w:cs="仿宋"/>
          <w:spacing w:val="-4"/>
          <w:sz w:val="32"/>
          <w:szCs w:val="32"/>
        </w:rPr>
      </w:pPr>
      <w:bookmarkStart w:id="8" w:name="_Toc6621_WPSOffice_Level2"/>
      <w:bookmarkStart w:id="9" w:name="_Toc504_WPSOffice_Level2"/>
      <w:r>
        <w:rPr>
          <w:rFonts w:hint="eastAsia" w:ascii="宋体" w:hAnsi="宋体" w:eastAsia="仿宋_GB2312" w:cs="Times New Roman"/>
          <w:sz w:val="32"/>
          <w:szCs w:val="32"/>
        </w:rPr>
        <w:t>本年收入合计</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万元，其中：财政拨款收入</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万元;上级补助收入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 xml:space="preserve">万元；事业收入 </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 xml:space="preserve">万元；附属单位上缴收入 </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 xml:space="preserve"> 万元；其他收入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三、支出决算情况说明</w:t>
      </w:r>
      <w:bookmarkEnd w:id="8"/>
      <w:bookmarkEnd w:id="9"/>
    </w:p>
    <w:p>
      <w:pPr>
        <w:ind w:firstLine="640" w:firstLineChars="200"/>
        <w:rPr>
          <w:rFonts w:ascii="仿宋" w:hAnsi="仿宋" w:eastAsia="仿宋" w:cs="仿宋"/>
          <w:sz w:val="32"/>
          <w:szCs w:val="32"/>
        </w:rPr>
      </w:pPr>
      <w:bookmarkStart w:id="10" w:name="_Toc8754_WPSOffice_Level2"/>
      <w:bookmarkStart w:id="11" w:name="_Toc32119_WPSOffice_Level2"/>
      <w:r>
        <w:rPr>
          <w:rFonts w:hint="eastAsia" w:ascii="宋体" w:hAnsi="宋体" w:eastAsia="仿宋_GB2312" w:cs="Times New Roman"/>
          <w:sz w:val="32"/>
          <w:szCs w:val="32"/>
        </w:rPr>
        <w:t>本年支出合计</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 ，其中：基本支出</w:t>
      </w:r>
      <w:r>
        <w:rPr>
          <w:rFonts w:hint="eastAsia" w:ascii="仿宋" w:hAnsi="仿宋" w:eastAsia="仿宋" w:cs="仿宋"/>
          <w:sz w:val="32"/>
          <w:szCs w:val="32"/>
          <w:lang w:val="en-US" w:eastAsia="zh-CN"/>
        </w:rPr>
        <w:t>489.15</w:t>
      </w:r>
      <w:r>
        <w:rPr>
          <w:rFonts w:hint="eastAsia" w:ascii="宋体" w:hAnsi="宋体" w:eastAsia="仿宋_GB2312" w:cs="Times New Roman"/>
          <w:sz w:val="32"/>
          <w:szCs w:val="32"/>
        </w:rPr>
        <w:t>万元 ；项目支出</w:t>
      </w:r>
      <w:r>
        <w:rPr>
          <w:rFonts w:hint="eastAsia" w:ascii="仿宋" w:hAnsi="仿宋" w:eastAsia="仿宋" w:cs="仿宋"/>
          <w:sz w:val="32"/>
          <w:szCs w:val="32"/>
          <w:lang w:val="en-US" w:eastAsia="zh-CN"/>
        </w:rPr>
        <w:t>815.87</w:t>
      </w:r>
      <w:r>
        <w:rPr>
          <w:rFonts w:hint="eastAsia" w:ascii="宋体" w:hAnsi="宋体" w:eastAsia="仿宋_GB2312" w:cs="Times New Roman"/>
          <w:sz w:val="32"/>
          <w:szCs w:val="32"/>
        </w:rPr>
        <w:t>万元；上缴上级支出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万元；对附属单位补助支出</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四、财政拨款收入支出决算总体情况说明</w:t>
      </w:r>
      <w:bookmarkEnd w:id="10"/>
      <w:bookmarkEnd w:id="11"/>
    </w:p>
    <w:p>
      <w:pPr>
        <w:spacing w:line="204" w:lineRule="auto"/>
        <w:ind w:firstLine="667"/>
        <w:jc w:val="left"/>
        <w:rPr>
          <w:rFonts w:hint="default" w:ascii="宋体" w:hAnsi="宋体" w:eastAsia="仿宋_GB2312" w:cs="Times New Roman"/>
          <w:sz w:val="32"/>
          <w:szCs w:val="32"/>
          <w:lang w:val="en-US" w:eastAsia="zh-CN"/>
        </w:rPr>
      </w:pPr>
      <w:bookmarkStart w:id="12" w:name="_Toc2892_WPSOffice_Level2"/>
      <w:bookmarkStart w:id="13" w:name="_Toc23250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年度财政拨款收入总计</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万元、支出总计</w:t>
      </w:r>
      <w:r>
        <w:rPr>
          <w:rFonts w:hint="eastAsia" w:ascii="宋体" w:hAnsi="宋体" w:eastAsia="仿宋_GB2312" w:cs="Times New Roman"/>
          <w:sz w:val="32"/>
          <w:szCs w:val="32"/>
          <w:lang w:val="en-US" w:eastAsia="zh-CN"/>
        </w:rPr>
        <w:t>1305.02</w:t>
      </w:r>
      <w:r>
        <w:rPr>
          <w:rFonts w:hint="eastAsia" w:ascii="宋体" w:hAnsi="宋体" w:eastAsia="仿宋_GB2312" w:cs="Times New Roman"/>
          <w:sz w:val="32"/>
          <w:szCs w:val="32"/>
        </w:rPr>
        <w:t xml:space="preserve">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 xml:space="preserve"> 年相比，财政拨款收入总计增加</w:t>
      </w:r>
      <w:r>
        <w:rPr>
          <w:rFonts w:hint="eastAsia" w:ascii="宋体" w:hAnsi="宋体" w:eastAsia="仿宋_GB2312" w:cs="Times New Roman"/>
          <w:sz w:val="32"/>
          <w:szCs w:val="32"/>
          <w:lang w:val="en-US" w:eastAsia="zh-CN"/>
        </w:rPr>
        <w:t>537.38</w:t>
      </w:r>
      <w:r>
        <w:rPr>
          <w:rFonts w:hint="eastAsia" w:ascii="宋体" w:hAnsi="宋体" w:eastAsia="仿宋_GB2312" w:cs="Times New Roman"/>
          <w:sz w:val="32"/>
          <w:szCs w:val="32"/>
        </w:rPr>
        <w:t>万元，增长</w:t>
      </w:r>
      <w:r>
        <w:rPr>
          <w:rFonts w:hint="eastAsia" w:ascii="宋体" w:hAnsi="宋体" w:eastAsia="仿宋_GB2312" w:cs="Times New Roman"/>
          <w:sz w:val="32"/>
          <w:szCs w:val="32"/>
          <w:lang w:val="en-US" w:eastAsia="zh-CN"/>
        </w:rPr>
        <w:t>41</w:t>
      </w:r>
      <w:r>
        <w:rPr>
          <w:rFonts w:hint="eastAsia" w:ascii="宋体" w:hAnsi="宋体" w:eastAsia="仿宋_GB2312" w:cs="Times New Roman"/>
          <w:sz w:val="32"/>
          <w:szCs w:val="32"/>
        </w:rPr>
        <w:t>%。主要原因是：</w:t>
      </w:r>
      <w:r>
        <w:rPr>
          <w:rFonts w:hint="eastAsia" w:ascii="宋体" w:hAnsi="宋体" w:eastAsia="仿宋_GB2312" w:cs="Times New Roman"/>
          <w:sz w:val="32"/>
          <w:szCs w:val="32"/>
          <w:lang w:eastAsia="zh-CN"/>
        </w:rPr>
        <w:t>增加数字消费卷项目</w:t>
      </w:r>
      <w:r>
        <w:rPr>
          <w:rFonts w:hint="eastAsia" w:ascii="宋体" w:hAnsi="宋体" w:eastAsia="仿宋_GB2312" w:cs="Times New Roman"/>
          <w:sz w:val="32"/>
          <w:szCs w:val="32"/>
          <w:lang w:val="en-US" w:eastAsia="zh-CN"/>
        </w:rPr>
        <w:t>500万元，退休职工死亡抚恤金60.07万元，企业补助136.72万元，小企业补助25万元，商业服务减少12.46万元，粮油物资储备减少173.47万元（招商引资、委托业务）。</w:t>
      </w:r>
    </w:p>
    <w:p>
      <w:pPr>
        <w:spacing w:line="204" w:lineRule="auto"/>
        <w:ind w:firstLine="667"/>
        <w:jc w:val="left"/>
        <w:rPr>
          <w:rFonts w:ascii="宋体" w:hAnsi="宋体" w:eastAsia="仿宋_GB2312" w:cs="Times New Roman"/>
          <w:sz w:val="32"/>
          <w:szCs w:val="32"/>
        </w:rPr>
      </w:pPr>
      <w:r>
        <w:rPr>
          <w:rFonts w:hint="eastAsia" w:ascii="宋体" w:hAnsi="宋体" w:eastAsia="仿宋_GB2312" w:cs="Times New Roman"/>
          <w:sz w:val="32"/>
          <w:szCs w:val="32"/>
          <w:lang w:eastAsia="zh-CN"/>
        </w:rPr>
        <w:t>死亡抚恤增加</w:t>
      </w:r>
      <w:r>
        <w:rPr>
          <w:rFonts w:hint="eastAsia" w:ascii="宋体" w:hAnsi="宋体" w:eastAsia="仿宋_GB2312" w:cs="Times New Roman"/>
          <w:sz w:val="32"/>
          <w:szCs w:val="32"/>
          <w:lang w:val="en-US" w:eastAsia="zh-CN"/>
        </w:rPr>
        <w:t>17.58万元，项目减少6.2万元，人员变动减少10.13万元。</w:t>
      </w:r>
      <w:r>
        <w:rPr>
          <w:rFonts w:hint="eastAsia" w:ascii="宋体" w:hAnsi="宋体" w:eastAsia="仿宋_GB2312" w:cs="Times New Roman"/>
          <w:sz w:val="32"/>
          <w:szCs w:val="32"/>
        </w:rPr>
        <w:t xml:space="preserve"> </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五、一般公共预算财政拨款支出决算情况说明</w:t>
      </w:r>
      <w:bookmarkEnd w:id="12"/>
      <w:bookmarkEnd w:id="13"/>
    </w:p>
    <w:p>
      <w:pPr>
        <w:rPr>
          <w:rFonts w:ascii="宋体" w:hAnsi="宋体" w:eastAsia="仿宋_GB2312" w:cs="Times New Roman"/>
          <w:sz w:val="32"/>
          <w:szCs w:val="32"/>
        </w:rPr>
      </w:pPr>
      <w:r>
        <w:rPr>
          <w:rFonts w:hint="eastAsia" w:ascii="宋体" w:hAnsi="宋体" w:eastAsia="仿宋_GB2312" w:cs="Times New Roman"/>
          <w:sz w:val="32"/>
          <w:szCs w:val="32"/>
        </w:rPr>
        <w:t>1.财政拨款支出决算总体情况</w:t>
      </w:r>
    </w:p>
    <w:p>
      <w:pPr>
        <w:spacing w:line="204" w:lineRule="auto"/>
        <w:ind w:firstLine="667"/>
        <w:jc w:val="left"/>
        <w:rPr>
          <w:rFonts w:hint="default" w:ascii="宋体" w:hAnsi="宋体" w:eastAsia="仿宋_GB2312" w:cs="Times New Roman"/>
          <w:sz w:val="32"/>
          <w:szCs w:val="32"/>
          <w:lang w:val="en-US" w:eastAsia="zh-CN"/>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年度财政拨款支出</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 xml:space="preserve">万元，与 </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 xml:space="preserve"> 年相比，财政拨款支出增加</w:t>
      </w:r>
      <w:r>
        <w:rPr>
          <w:rFonts w:hint="eastAsia" w:ascii="宋体" w:hAnsi="宋体" w:eastAsia="仿宋_GB2312" w:cs="Times New Roman"/>
          <w:sz w:val="32"/>
          <w:szCs w:val="32"/>
          <w:lang w:val="en-US" w:eastAsia="zh-CN"/>
        </w:rPr>
        <w:t>537.38</w:t>
      </w:r>
      <w:r>
        <w:rPr>
          <w:rFonts w:hint="eastAsia" w:ascii="宋体" w:hAnsi="宋体" w:eastAsia="仿宋_GB2312" w:cs="Times New Roman"/>
          <w:sz w:val="32"/>
          <w:szCs w:val="32"/>
        </w:rPr>
        <w:t>万元。主要原因是：</w:t>
      </w:r>
      <w:r>
        <w:rPr>
          <w:rFonts w:hint="eastAsia" w:ascii="宋体" w:hAnsi="宋体" w:eastAsia="仿宋_GB2312" w:cs="Times New Roman"/>
          <w:sz w:val="32"/>
          <w:szCs w:val="32"/>
          <w:lang w:eastAsia="zh-CN"/>
        </w:rPr>
        <w:t>增加数字消费卷项目</w:t>
      </w:r>
      <w:r>
        <w:rPr>
          <w:rFonts w:hint="eastAsia" w:ascii="宋体" w:hAnsi="宋体" w:eastAsia="仿宋_GB2312" w:cs="Times New Roman"/>
          <w:sz w:val="32"/>
          <w:szCs w:val="32"/>
          <w:lang w:val="en-US" w:eastAsia="zh-CN"/>
        </w:rPr>
        <w:t>500万元，退休职工死亡抚恤金60.07万元，企业补助136.72万元，小企业补助25万元，商业服务减少12.46万元，粮油物资储备减少173.47万元（招商引资、委托业务）。</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lang w:eastAsia="zh-CN"/>
        </w:rPr>
        <w:t>死亡抚恤增加</w:t>
      </w:r>
      <w:r>
        <w:rPr>
          <w:rFonts w:hint="eastAsia" w:ascii="宋体" w:hAnsi="宋体" w:eastAsia="仿宋_GB2312" w:cs="Times New Roman"/>
          <w:sz w:val="32"/>
          <w:szCs w:val="32"/>
          <w:lang w:val="en-US" w:eastAsia="zh-CN"/>
        </w:rPr>
        <w:t>17.58万元，项目减少6.2万元，人员变动减少10.13万元。</w:t>
      </w:r>
      <w:r>
        <w:rPr>
          <w:rFonts w:hint="eastAsia" w:ascii="宋体" w:hAnsi="宋体" w:eastAsia="仿宋_GB2312" w:cs="Times New Roman"/>
          <w:sz w:val="32"/>
          <w:szCs w:val="32"/>
        </w:rPr>
        <w:t xml:space="preserve"> </w:t>
      </w:r>
    </w:p>
    <w:p>
      <w:pPr>
        <w:rPr>
          <w:rFonts w:ascii="宋体" w:hAnsi="宋体" w:eastAsia="仿宋_GB2312" w:cs="Times New Roman"/>
          <w:sz w:val="32"/>
          <w:szCs w:val="32"/>
        </w:rPr>
      </w:pPr>
      <w:r>
        <w:rPr>
          <w:rFonts w:hint="eastAsia" w:ascii="宋体" w:hAnsi="宋体" w:eastAsia="仿宋_GB2312" w:cs="Times New Roman"/>
          <w:sz w:val="32"/>
          <w:szCs w:val="32"/>
        </w:rPr>
        <w:t>2.财政拨款支出决算结构情况</w:t>
      </w:r>
    </w:p>
    <w:p>
      <w:pPr>
        <w:spacing w:line="360" w:lineRule="auto"/>
        <w:ind w:firstLine="640" w:firstLineChars="200"/>
        <w:rPr>
          <w:rFonts w:ascii="仿宋" w:hAnsi="仿宋" w:eastAsia="仿宋" w:cs="仿宋"/>
          <w:sz w:val="32"/>
          <w:szCs w:val="32"/>
        </w:rPr>
      </w:pPr>
      <w:bookmarkStart w:id="14" w:name="_Toc27424_WPSOffice_Level2"/>
      <w:bookmarkStart w:id="15" w:name="_Toc1066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年度财政拨款支出</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万元，主要用于以下方面：</w:t>
      </w:r>
      <w:r>
        <w:rPr>
          <w:rFonts w:hint="eastAsia" w:ascii="宋体" w:hAnsi="宋体" w:eastAsia="仿宋_GB2312" w:cs="Times New Roman"/>
          <w:sz w:val="32"/>
          <w:szCs w:val="32"/>
          <w:lang w:val="en-US" w:eastAsia="zh-CN"/>
        </w:rPr>
        <w:t>2011399其他商贸事务支出</w:t>
      </w:r>
      <w:r>
        <w:rPr>
          <w:rFonts w:hint="eastAsia" w:ascii="宋体" w:hAnsi="宋体" w:eastAsia="仿宋_GB2312" w:cs="Times New Roman"/>
          <w:sz w:val="32"/>
          <w:szCs w:val="32"/>
        </w:rPr>
        <w:t>支出</w:t>
      </w:r>
      <w:r>
        <w:rPr>
          <w:rFonts w:hint="eastAsia" w:ascii="宋体" w:hAnsi="宋体" w:eastAsia="仿宋_GB2312" w:cs="Times New Roman"/>
          <w:sz w:val="32"/>
          <w:szCs w:val="32"/>
          <w:lang w:val="en-US" w:eastAsia="zh-CN"/>
        </w:rPr>
        <w:t>500</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38</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2069999其他科学技术支出136.72</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10</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2080801</w:t>
      </w:r>
      <w:r>
        <w:rPr>
          <w:rFonts w:hint="eastAsia" w:ascii="宋体" w:hAnsi="宋体" w:eastAsia="仿宋_GB2312" w:cs="Times New Roman"/>
          <w:sz w:val="32"/>
          <w:szCs w:val="32"/>
        </w:rPr>
        <w:t>死亡抚恤支出</w:t>
      </w:r>
      <w:r>
        <w:rPr>
          <w:rFonts w:hint="eastAsia" w:ascii="宋体" w:hAnsi="宋体" w:eastAsia="仿宋_GB2312" w:cs="Times New Roman"/>
          <w:sz w:val="32"/>
          <w:szCs w:val="32"/>
          <w:lang w:val="en-US" w:eastAsia="zh-CN"/>
        </w:rPr>
        <w:t>101.1</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7</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2150899 其他支持中小企业发展和管理支出25</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2</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2160201</w:t>
      </w:r>
      <w:r>
        <w:rPr>
          <w:rFonts w:hint="eastAsia" w:ascii="宋体" w:hAnsi="宋体" w:eastAsia="仿宋_GB2312" w:cs="Times New Roman"/>
          <w:sz w:val="32"/>
          <w:szCs w:val="32"/>
          <w:lang w:eastAsia="zh-CN"/>
        </w:rPr>
        <w:t>行政运行</w:t>
      </w:r>
      <w:r>
        <w:rPr>
          <w:rFonts w:hint="eastAsia" w:ascii="宋体" w:hAnsi="宋体" w:eastAsia="仿宋_GB2312" w:cs="Times New Roman"/>
          <w:sz w:val="32"/>
          <w:szCs w:val="32"/>
        </w:rPr>
        <w:t>支出</w:t>
      </w:r>
      <w:r>
        <w:rPr>
          <w:rFonts w:hint="eastAsia" w:ascii="宋体" w:hAnsi="宋体" w:eastAsia="仿宋_GB2312" w:cs="Times New Roman"/>
          <w:sz w:val="32"/>
          <w:szCs w:val="32"/>
          <w:lang w:val="en-US" w:eastAsia="zh-CN"/>
        </w:rPr>
        <w:t>82.79</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6</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2160203</w:t>
      </w:r>
      <w:r>
        <w:rPr>
          <w:rFonts w:hint="eastAsia" w:ascii="宋体" w:hAnsi="宋体" w:eastAsia="仿宋_GB2312" w:cs="Times New Roman"/>
          <w:sz w:val="32"/>
          <w:szCs w:val="32"/>
          <w:lang w:eastAsia="zh-CN"/>
        </w:rPr>
        <w:t>机关服务</w:t>
      </w:r>
      <w:r>
        <w:rPr>
          <w:rFonts w:hint="eastAsia" w:ascii="宋体" w:hAnsi="宋体" w:eastAsia="仿宋_GB2312" w:cs="Times New Roman"/>
          <w:sz w:val="32"/>
          <w:szCs w:val="32"/>
        </w:rPr>
        <w:t>支出</w:t>
      </w:r>
      <w:r>
        <w:rPr>
          <w:rFonts w:hint="eastAsia" w:ascii="宋体" w:hAnsi="宋体" w:eastAsia="仿宋_GB2312" w:cs="Times New Roman"/>
          <w:sz w:val="32"/>
          <w:szCs w:val="32"/>
          <w:lang w:val="en-US" w:eastAsia="zh-CN"/>
        </w:rPr>
        <w:t>71.99</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5</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2169999其他商业服务业等支出45</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3</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2220101</w:t>
      </w:r>
      <w:r>
        <w:rPr>
          <w:rFonts w:hint="eastAsia" w:ascii="宋体" w:hAnsi="宋体" w:eastAsia="仿宋_GB2312" w:cs="Times New Roman"/>
          <w:sz w:val="32"/>
          <w:szCs w:val="32"/>
          <w:lang w:eastAsia="zh-CN"/>
        </w:rPr>
        <w:t>行政运行</w:t>
      </w:r>
      <w:r>
        <w:rPr>
          <w:rFonts w:hint="eastAsia" w:ascii="宋体" w:hAnsi="宋体" w:eastAsia="仿宋_GB2312" w:cs="Times New Roman"/>
          <w:sz w:val="32"/>
          <w:szCs w:val="32"/>
        </w:rPr>
        <w:t>支出</w:t>
      </w:r>
      <w:r>
        <w:rPr>
          <w:rFonts w:hint="eastAsia" w:ascii="宋体" w:hAnsi="宋体" w:eastAsia="仿宋_GB2312" w:cs="Times New Roman"/>
          <w:sz w:val="32"/>
          <w:szCs w:val="32"/>
          <w:lang w:val="en-US" w:eastAsia="zh-CN"/>
        </w:rPr>
        <w:t>224.56</w:t>
      </w:r>
      <w:r>
        <w:rPr>
          <w:rFonts w:hint="eastAsia" w:ascii="宋体" w:hAnsi="宋体" w:eastAsia="仿宋_GB2312" w:cs="Times New Roman"/>
          <w:sz w:val="32"/>
          <w:szCs w:val="32"/>
        </w:rPr>
        <w:t>万元，占</w:t>
      </w:r>
      <w:r>
        <w:rPr>
          <w:rFonts w:hint="eastAsia" w:ascii="宋体" w:hAnsi="宋体" w:eastAsia="仿宋_GB2312" w:cs="Times New Roman"/>
          <w:sz w:val="32"/>
          <w:szCs w:val="32"/>
          <w:lang w:val="en-US" w:eastAsia="zh-CN"/>
        </w:rPr>
        <w:t>17</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2220102一般管理事务支出4.05万元，占0.3%，2220103机关服务支出109.82万元，占8.4%，2299999其他支出4万元，占0.3%。</w:t>
      </w:r>
    </w:p>
    <w:p>
      <w:pPr>
        <w:rPr>
          <w:rFonts w:ascii="宋体" w:hAnsi="宋体" w:eastAsia="仿宋_GB2312" w:cs="Times New Roman"/>
          <w:sz w:val="32"/>
          <w:szCs w:val="32"/>
        </w:rPr>
      </w:pPr>
      <w:r>
        <w:rPr>
          <w:rFonts w:hint="eastAsia" w:ascii="宋体" w:hAnsi="宋体" w:eastAsia="仿宋_GB2312" w:cs="Times New Roman"/>
          <w:sz w:val="32"/>
          <w:szCs w:val="32"/>
        </w:rPr>
        <w:t>3.一般公共预算财政拨款支出决算具体情况。</w:t>
      </w:r>
    </w:p>
    <w:p>
      <w:pPr>
        <w:ind w:firstLine="640" w:firstLineChars="200"/>
        <w:rPr>
          <w:rFonts w:ascii="仿宋" w:hAnsi="仿宋" w:eastAsia="仿宋" w:cs="仿宋"/>
          <w:spacing w:val="4"/>
          <w:sz w:val="32"/>
          <w:szCs w:val="32"/>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年度一般公共预算财政拨款支出当年调整预算数</w:t>
      </w:r>
      <w:r>
        <w:rPr>
          <w:rFonts w:hint="eastAsia" w:ascii="宋体" w:hAnsi="宋体" w:eastAsia="仿宋_GB2312" w:cs="Times New Roman"/>
          <w:sz w:val="32"/>
          <w:szCs w:val="32"/>
          <w:lang w:val="en-US" w:eastAsia="zh-CN"/>
        </w:rPr>
        <w:t>1305.02</w:t>
      </w:r>
      <w:r>
        <w:rPr>
          <w:rFonts w:hint="eastAsia" w:ascii="宋体" w:hAnsi="宋体" w:eastAsia="仿宋_GB2312" w:cs="Times New Roman"/>
          <w:sz w:val="32"/>
          <w:szCs w:val="32"/>
        </w:rPr>
        <w:t>万元，支出决算为</w:t>
      </w:r>
      <w:r>
        <w:rPr>
          <w:rFonts w:hint="eastAsia" w:ascii="仿宋" w:hAnsi="仿宋" w:eastAsia="仿宋" w:cs="仿宋"/>
          <w:sz w:val="32"/>
          <w:szCs w:val="32"/>
          <w:lang w:val="en-US" w:eastAsia="zh-CN"/>
        </w:rPr>
        <w:t>1305.02</w:t>
      </w:r>
      <w:r>
        <w:rPr>
          <w:rFonts w:hint="eastAsia" w:ascii="宋体" w:hAnsi="宋体" w:eastAsia="仿宋_GB2312" w:cs="Times New Roman"/>
          <w:sz w:val="32"/>
          <w:szCs w:val="32"/>
        </w:rPr>
        <w:t>万元，完成当年调整预算的</w:t>
      </w:r>
      <w:r>
        <w:rPr>
          <w:rFonts w:hint="eastAsia" w:ascii="宋体" w:hAnsi="宋体" w:eastAsia="仿宋_GB2312" w:cs="Times New Roman"/>
          <w:sz w:val="32"/>
          <w:szCs w:val="32"/>
          <w:lang w:val="en-US" w:eastAsia="zh-CN"/>
        </w:rPr>
        <w:t>100</w:t>
      </w:r>
      <w:r>
        <w:rPr>
          <w:rFonts w:hint="eastAsia" w:ascii="宋体" w:hAnsi="宋体" w:eastAsia="仿宋_GB2312" w:cs="Times New Roman"/>
          <w:sz w:val="32"/>
          <w:szCs w:val="32"/>
        </w:rPr>
        <w:t>%。</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六、一般公共预算财政拨款基本支出决算情况说明</w:t>
      </w:r>
      <w:bookmarkEnd w:id="14"/>
      <w:bookmarkEnd w:id="15"/>
    </w:p>
    <w:p>
      <w:pPr>
        <w:ind w:firstLine="640" w:firstLineChars="200"/>
        <w:rPr>
          <w:rFonts w:ascii="宋体" w:hAnsi="宋体" w:eastAsia="仿宋_GB2312" w:cs="Times New Roman"/>
          <w:sz w:val="32"/>
          <w:szCs w:val="32"/>
        </w:rPr>
      </w:pPr>
      <w:bookmarkStart w:id="16" w:name="_Toc21993_WPSOffice_Level2"/>
      <w:bookmarkStart w:id="17" w:name="_Toc28951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 xml:space="preserve"> 年度财政拨款基本支出</w:t>
      </w:r>
      <w:r>
        <w:rPr>
          <w:rFonts w:hint="eastAsia" w:ascii="仿宋" w:hAnsi="仿宋" w:eastAsia="仿宋" w:cs="仿宋"/>
          <w:spacing w:val="4"/>
          <w:sz w:val="32"/>
          <w:szCs w:val="32"/>
          <w:lang w:val="en-US" w:eastAsia="zh-CN"/>
        </w:rPr>
        <w:t>489.15</w:t>
      </w:r>
      <w:r>
        <w:rPr>
          <w:rFonts w:hint="eastAsia" w:ascii="宋体" w:hAnsi="宋体" w:eastAsia="仿宋_GB2312" w:cs="Times New Roman"/>
          <w:sz w:val="32"/>
          <w:szCs w:val="32"/>
        </w:rPr>
        <w:t>万元，其中：人员经费</w:t>
      </w:r>
      <w:r>
        <w:rPr>
          <w:rFonts w:hint="eastAsia" w:ascii="仿宋" w:hAnsi="仿宋" w:eastAsia="仿宋" w:cs="仿宋"/>
          <w:spacing w:val="4"/>
          <w:sz w:val="32"/>
          <w:szCs w:val="32"/>
          <w:lang w:val="en-US" w:eastAsia="zh-CN"/>
        </w:rPr>
        <w:t>424.01</w:t>
      </w:r>
      <w:r>
        <w:rPr>
          <w:rFonts w:hint="eastAsia" w:ascii="宋体" w:hAnsi="宋体" w:eastAsia="仿宋_GB2312" w:cs="Times New Roman"/>
          <w:sz w:val="32"/>
          <w:szCs w:val="32"/>
        </w:rPr>
        <w:t>万元，主要包括工资福利支出</w:t>
      </w:r>
      <w:r>
        <w:rPr>
          <w:rFonts w:hint="eastAsia" w:ascii="仿宋" w:hAnsi="仿宋" w:eastAsia="仿宋" w:cs="仿宋"/>
          <w:spacing w:val="4"/>
          <w:sz w:val="32"/>
          <w:szCs w:val="32"/>
          <w:lang w:val="en-US" w:eastAsia="zh-CN"/>
        </w:rPr>
        <w:t>359.49</w:t>
      </w:r>
      <w:r>
        <w:rPr>
          <w:rFonts w:hint="eastAsia" w:ascii="宋体" w:hAnsi="宋体" w:eastAsia="仿宋_GB2312" w:cs="Times New Roman"/>
          <w:sz w:val="32"/>
          <w:szCs w:val="32"/>
        </w:rPr>
        <w:t>万元和对个人和家庭的补助</w:t>
      </w:r>
      <w:r>
        <w:rPr>
          <w:rFonts w:hint="eastAsia" w:ascii="仿宋" w:hAnsi="仿宋" w:eastAsia="仿宋" w:cs="仿宋"/>
          <w:spacing w:val="4"/>
          <w:sz w:val="32"/>
          <w:szCs w:val="32"/>
          <w:lang w:val="en-US" w:eastAsia="zh-CN"/>
        </w:rPr>
        <w:t>64.52</w:t>
      </w:r>
      <w:r>
        <w:rPr>
          <w:rFonts w:hint="eastAsia" w:ascii="宋体" w:hAnsi="宋体" w:eastAsia="仿宋_GB2312" w:cs="Times New Roman"/>
          <w:sz w:val="32"/>
          <w:szCs w:val="32"/>
        </w:rPr>
        <w:t>万元；公用经费</w:t>
      </w:r>
      <w:r>
        <w:rPr>
          <w:rFonts w:hint="eastAsia" w:ascii="仿宋" w:hAnsi="仿宋" w:eastAsia="仿宋" w:cs="仿宋"/>
          <w:spacing w:val="4"/>
          <w:sz w:val="32"/>
          <w:szCs w:val="32"/>
          <w:lang w:val="en-US" w:eastAsia="zh-CN"/>
        </w:rPr>
        <w:t>65.14</w:t>
      </w:r>
      <w:r>
        <w:rPr>
          <w:rFonts w:hint="eastAsia" w:ascii="宋体" w:hAnsi="宋体" w:eastAsia="仿宋_GB2312" w:cs="Times New Roman"/>
          <w:sz w:val="32"/>
          <w:szCs w:val="32"/>
        </w:rPr>
        <w:t>万元，主要包括商品和服务支出</w:t>
      </w:r>
      <w:r>
        <w:rPr>
          <w:rFonts w:hint="eastAsia" w:ascii="宋体" w:hAnsi="宋体" w:eastAsia="仿宋_GB2312" w:cs="Times New Roman"/>
          <w:sz w:val="32"/>
          <w:szCs w:val="32"/>
          <w:lang w:val="en-US" w:eastAsia="zh-CN"/>
        </w:rPr>
        <w:t>65.14</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七、一般公共预算财政拨款“三公”经费支出决算情况说明</w:t>
      </w:r>
      <w:bookmarkEnd w:id="16"/>
      <w:bookmarkEnd w:id="17"/>
    </w:p>
    <w:p>
      <w:pPr>
        <w:ind w:firstLine="640" w:firstLineChars="200"/>
        <w:rPr>
          <w:rFonts w:ascii="宋体" w:hAnsi="宋体" w:eastAsia="仿宋_GB2312" w:cs="Times New Roman"/>
          <w:sz w:val="32"/>
          <w:szCs w:val="32"/>
        </w:rPr>
      </w:pPr>
      <w:bookmarkStart w:id="18" w:name="_Toc9131_WPSOffice_Level2"/>
      <w:bookmarkStart w:id="19" w:name="_Toc10214_WPSOffice_Level2"/>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年“三公”经费一般公共</w:t>
      </w:r>
      <w:r>
        <w:rPr>
          <w:rFonts w:hint="eastAsia" w:ascii="宋体" w:hAnsi="宋体" w:eastAsia="仿宋_GB2312" w:cs="Times New Roman"/>
          <w:sz w:val="32"/>
          <w:szCs w:val="32"/>
          <w:lang w:eastAsia="zh-CN"/>
        </w:rPr>
        <w:t>预算</w:t>
      </w:r>
      <w:r>
        <w:rPr>
          <w:rFonts w:hint="eastAsia" w:ascii="宋体" w:hAnsi="宋体" w:eastAsia="仿宋_GB2312" w:cs="Times New Roman"/>
          <w:sz w:val="32"/>
          <w:szCs w:val="32"/>
        </w:rPr>
        <w:t>财政拨款支出</w:t>
      </w:r>
      <w:r>
        <w:rPr>
          <w:rFonts w:hint="eastAsia" w:ascii="宋体" w:hAnsi="宋体" w:eastAsia="仿宋_GB2312" w:cs="Times New Roman"/>
          <w:sz w:val="32"/>
          <w:szCs w:val="32"/>
          <w:lang w:eastAsia="zh-CN"/>
        </w:rPr>
        <w:t>预算数</w:t>
      </w:r>
      <w:r>
        <w:rPr>
          <w:rFonts w:hint="eastAsia" w:ascii="仿宋" w:hAnsi="仿宋" w:eastAsia="仿宋" w:cs="仿宋"/>
          <w:spacing w:val="4"/>
          <w:sz w:val="32"/>
          <w:szCs w:val="32"/>
          <w:lang w:val="en-US" w:eastAsia="zh-CN"/>
        </w:rPr>
        <w:t>1.9</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年“三公”经费一般公共</w:t>
      </w:r>
      <w:r>
        <w:rPr>
          <w:rFonts w:hint="eastAsia" w:ascii="宋体" w:hAnsi="宋体" w:eastAsia="仿宋_GB2312" w:cs="Times New Roman"/>
          <w:sz w:val="32"/>
          <w:szCs w:val="32"/>
          <w:lang w:eastAsia="zh-CN"/>
        </w:rPr>
        <w:t>预算</w:t>
      </w:r>
      <w:r>
        <w:rPr>
          <w:rFonts w:hint="eastAsia" w:ascii="宋体" w:hAnsi="宋体" w:eastAsia="仿宋_GB2312" w:cs="Times New Roman"/>
          <w:sz w:val="32"/>
          <w:szCs w:val="32"/>
        </w:rPr>
        <w:t>财政拨款支出决算</w:t>
      </w:r>
      <w:r>
        <w:rPr>
          <w:rFonts w:hint="eastAsia" w:ascii="宋体" w:hAnsi="宋体" w:eastAsia="仿宋_GB2312" w:cs="Times New Roman"/>
          <w:sz w:val="32"/>
          <w:szCs w:val="32"/>
          <w:lang w:eastAsia="zh-CN"/>
        </w:rPr>
        <w:t>数</w:t>
      </w:r>
      <w:r>
        <w:rPr>
          <w:rFonts w:hint="eastAsia" w:ascii="仿宋" w:hAnsi="仿宋" w:eastAsia="仿宋" w:cs="仿宋"/>
          <w:spacing w:val="4"/>
          <w:sz w:val="32"/>
          <w:szCs w:val="32"/>
          <w:lang w:val="en-US" w:eastAsia="zh-CN"/>
        </w:rPr>
        <w:t>1.9</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与同年预算相比无变化，</w:t>
      </w:r>
      <w:r>
        <w:rPr>
          <w:rFonts w:hint="eastAsia" w:ascii="宋体" w:hAnsi="宋体" w:eastAsia="仿宋_GB2312" w:cs="Times New Roman"/>
          <w:sz w:val="32"/>
          <w:szCs w:val="32"/>
        </w:rPr>
        <w:t>比</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年</w:t>
      </w:r>
      <w:r>
        <w:rPr>
          <w:rFonts w:hint="eastAsia" w:ascii="宋体" w:hAnsi="宋体" w:eastAsia="仿宋_GB2312" w:cs="Times New Roman"/>
          <w:sz w:val="32"/>
          <w:szCs w:val="32"/>
          <w:lang w:eastAsia="zh-CN"/>
        </w:rPr>
        <w:t>决算数</w:t>
      </w:r>
      <w:r>
        <w:rPr>
          <w:rFonts w:hint="eastAsia" w:ascii="仿宋" w:hAnsi="仿宋" w:eastAsia="仿宋" w:cs="仿宋"/>
          <w:spacing w:val="4"/>
          <w:sz w:val="32"/>
          <w:szCs w:val="32"/>
        </w:rPr>
        <w:t>减少</w:t>
      </w:r>
      <w:r>
        <w:rPr>
          <w:rFonts w:hint="eastAsia" w:ascii="仿宋" w:hAnsi="仿宋" w:eastAsia="仿宋" w:cs="仿宋"/>
          <w:spacing w:val="4"/>
          <w:sz w:val="32"/>
          <w:szCs w:val="32"/>
          <w:lang w:val="en-US" w:eastAsia="zh-CN"/>
        </w:rPr>
        <w:t>0.1</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，原因是</w:t>
      </w:r>
      <w:r>
        <w:rPr>
          <w:rFonts w:hint="eastAsia" w:ascii="宋体" w:hAnsi="宋体" w:eastAsia="仿宋_GB2312" w:cs="Times New Roman"/>
          <w:sz w:val="32"/>
          <w:szCs w:val="32"/>
          <w:lang w:val="en-US" w:eastAsia="zh-CN"/>
        </w:rPr>
        <w:t>财政核减0.1万元</w:t>
      </w:r>
      <w:r>
        <w:rPr>
          <w:rFonts w:hint="eastAsia" w:ascii="宋体" w:hAnsi="宋体" w:eastAsia="仿宋_GB2312" w:cs="Times New Roman"/>
          <w:sz w:val="32"/>
          <w:szCs w:val="32"/>
        </w:rPr>
        <w:t>。其中：因公出国（境）费用</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与上年相比无变化；</w:t>
      </w:r>
      <w:r>
        <w:rPr>
          <w:rFonts w:hint="eastAsia" w:ascii="宋体" w:hAnsi="宋体" w:eastAsia="仿宋_GB2312" w:cs="Times New Roman"/>
          <w:sz w:val="32"/>
          <w:szCs w:val="32"/>
        </w:rPr>
        <w:t>公务接待费</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与上年相比无变化</w:t>
      </w:r>
      <w:r>
        <w:rPr>
          <w:rFonts w:hint="eastAsia" w:ascii="宋体" w:hAnsi="宋体" w:eastAsia="仿宋_GB2312" w:cs="Times New Roman"/>
          <w:sz w:val="32"/>
          <w:szCs w:val="32"/>
        </w:rPr>
        <w:t>；公务用车运行维护费</w:t>
      </w:r>
      <w:r>
        <w:rPr>
          <w:rFonts w:hint="eastAsia" w:ascii="仿宋" w:hAnsi="仿宋" w:eastAsia="仿宋" w:cs="仿宋"/>
          <w:spacing w:val="4"/>
          <w:sz w:val="32"/>
          <w:szCs w:val="32"/>
          <w:lang w:val="en-US" w:eastAsia="zh-CN"/>
        </w:rPr>
        <w:t>1.9</w:t>
      </w:r>
      <w:r>
        <w:rPr>
          <w:rFonts w:hint="eastAsia" w:ascii="宋体" w:hAnsi="宋体" w:eastAsia="仿宋_GB2312" w:cs="Times New Roman"/>
          <w:sz w:val="32"/>
          <w:szCs w:val="32"/>
        </w:rPr>
        <w:t>万元，比上年</w:t>
      </w:r>
      <w:r>
        <w:rPr>
          <w:rFonts w:hint="eastAsia" w:ascii="仿宋" w:hAnsi="仿宋" w:eastAsia="仿宋" w:cs="仿宋"/>
          <w:spacing w:val="4"/>
          <w:sz w:val="32"/>
          <w:szCs w:val="32"/>
        </w:rPr>
        <w:t>减少</w:t>
      </w:r>
      <w:r>
        <w:rPr>
          <w:rFonts w:hint="eastAsia" w:ascii="仿宋" w:hAnsi="仿宋" w:eastAsia="仿宋" w:cs="仿宋"/>
          <w:spacing w:val="4"/>
          <w:sz w:val="32"/>
          <w:szCs w:val="32"/>
          <w:lang w:val="en-US" w:eastAsia="zh-CN"/>
        </w:rPr>
        <w:t>0.1</w:t>
      </w:r>
      <w:r>
        <w:rPr>
          <w:rFonts w:hint="eastAsia" w:ascii="宋体" w:hAnsi="宋体" w:eastAsia="仿宋_GB2312" w:cs="Times New Roman"/>
          <w:sz w:val="32"/>
          <w:szCs w:val="32"/>
        </w:rPr>
        <w:t>万元，原因是</w:t>
      </w:r>
      <w:r>
        <w:rPr>
          <w:rFonts w:hint="eastAsia" w:ascii="宋体" w:hAnsi="宋体" w:eastAsia="仿宋_GB2312" w:cs="Times New Roman"/>
          <w:sz w:val="32"/>
          <w:szCs w:val="32"/>
          <w:lang w:val="en-US" w:eastAsia="zh-CN"/>
        </w:rPr>
        <w:t>财政核减0.1万元</w:t>
      </w:r>
      <w:r>
        <w:rPr>
          <w:rFonts w:hint="eastAsia" w:ascii="宋体" w:hAnsi="宋体" w:eastAsia="仿宋_GB2312" w:cs="Times New Roman"/>
          <w:sz w:val="32"/>
          <w:szCs w:val="32"/>
        </w:rPr>
        <w:t>；公务用车购置费</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r>
        <w:rPr>
          <w:rFonts w:hint="eastAsia" w:ascii="宋体" w:hAnsi="宋体" w:eastAsia="仿宋_GB2312" w:cs="Times New Roman"/>
          <w:sz w:val="32"/>
          <w:szCs w:val="32"/>
          <w:lang w:eastAsia="zh-CN"/>
        </w:rPr>
        <w:t>与上年相比无变化。</w:t>
      </w:r>
    </w:p>
    <w:bookmarkEnd w:id="18"/>
    <w:bookmarkEnd w:id="19"/>
    <w:p>
      <w:pPr>
        <w:numPr>
          <w:ilvl w:val="0"/>
          <w:numId w:val="4"/>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政府性基金预算收入支出决算情况说明</w:t>
      </w:r>
    </w:p>
    <w:p>
      <w:pPr>
        <w:ind w:firstLine="640" w:firstLineChars="200"/>
        <w:rPr>
          <w:rFonts w:hint="eastAsia" w:ascii="宋体" w:hAnsi="宋体" w:eastAsia="楷体" w:cs="Times New Roman"/>
          <w:sz w:val="32"/>
          <w:szCs w:val="32"/>
          <w:lang w:val="en-US" w:eastAsia="zh-CN"/>
        </w:rPr>
      </w:pPr>
      <w:r>
        <w:rPr>
          <w:rFonts w:hint="eastAsia" w:ascii="宋体" w:hAnsi="宋体" w:eastAsia="仿宋_GB2312" w:cs="Times New Roman"/>
          <w:sz w:val="32"/>
          <w:szCs w:val="32"/>
          <w:lang w:eastAsia="zh-CN"/>
        </w:rPr>
        <w:t>我单位无</w:t>
      </w:r>
      <w:r>
        <w:rPr>
          <w:rFonts w:hint="eastAsia" w:ascii="楷体" w:hAnsi="楷体" w:eastAsia="楷体" w:cs="楷体"/>
          <w:spacing w:val="-3"/>
          <w:sz w:val="32"/>
          <w:szCs w:val="32"/>
        </w:rPr>
        <w:t>政府性基金预算收入支出</w:t>
      </w:r>
      <w:r>
        <w:rPr>
          <w:rFonts w:hint="eastAsia" w:ascii="楷体" w:hAnsi="楷体" w:eastAsia="楷体" w:cs="楷体"/>
          <w:spacing w:val="-3"/>
          <w:sz w:val="32"/>
          <w:szCs w:val="32"/>
          <w:lang w:eastAsia="zh-CN"/>
        </w:rPr>
        <w:t>。</w:t>
      </w:r>
    </w:p>
    <w:p>
      <w:pPr>
        <w:numPr>
          <w:ilvl w:val="0"/>
          <w:numId w:val="4"/>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其他重要事项的情况说明</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1.机关运行经费支出情况</w:t>
      </w:r>
    </w:p>
    <w:p>
      <w:pPr>
        <w:ind w:firstLine="640" w:firstLineChars="200"/>
        <w:rPr>
          <w:rFonts w:hint="eastAsia" w:ascii="宋体" w:hAnsi="宋体" w:eastAsia="仿宋_GB2312" w:cs="Times New Roman"/>
          <w:sz w:val="32"/>
          <w:szCs w:val="32"/>
          <w:lang w:eastAsia="zh-CN"/>
        </w:rPr>
      </w:pPr>
      <w:r>
        <w:rPr>
          <w:rFonts w:hint="eastAsia" w:ascii="宋体" w:hAnsi="宋体" w:eastAsia="仿宋_GB2312" w:cs="Times New Roman"/>
          <w:sz w:val="32"/>
          <w:szCs w:val="32"/>
        </w:rPr>
        <w:t>单位机关运行经费支出</w:t>
      </w:r>
      <w:r>
        <w:rPr>
          <w:rFonts w:hint="eastAsia" w:ascii="宋体" w:hAnsi="宋体" w:eastAsia="仿宋_GB2312" w:cs="Times New Roman"/>
          <w:sz w:val="32"/>
          <w:szCs w:val="32"/>
          <w:lang w:val="en-US" w:eastAsia="zh-CN"/>
        </w:rPr>
        <w:t>59.74</w:t>
      </w:r>
      <w:r>
        <w:rPr>
          <w:rFonts w:hint="eastAsia" w:ascii="宋体" w:hAnsi="宋体" w:eastAsia="仿宋_GB2312" w:cs="Times New Roman"/>
          <w:sz w:val="32"/>
          <w:szCs w:val="32"/>
        </w:rPr>
        <w:t>万元，比</w:t>
      </w:r>
      <w:r>
        <w:rPr>
          <w:rFonts w:hint="eastAsia" w:ascii="宋体" w:hAnsi="宋体" w:eastAsia="仿宋_GB2312" w:cs="Times New Roman"/>
          <w:sz w:val="32"/>
          <w:szCs w:val="32"/>
          <w:lang w:eastAsia="zh-CN"/>
        </w:rPr>
        <w:t>2020</w:t>
      </w:r>
      <w:r>
        <w:rPr>
          <w:rFonts w:hint="eastAsia" w:ascii="宋体" w:hAnsi="宋体" w:eastAsia="仿宋_GB2312" w:cs="Times New Roman"/>
          <w:sz w:val="32"/>
          <w:szCs w:val="32"/>
        </w:rPr>
        <w:t>年</w:t>
      </w:r>
      <w:r>
        <w:rPr>
          <w:rFonts w:hint="eastAsia" w:ascii="宋体" w:hAnsi="宋体" w:eastAsia="仿宋_GB2312" w:cs="Times New Roman"/>
          <w:sz w:val="32"/>
          <w:szCs w:val="32"/>
          <w:lang w:eastAsia="zh-CN"/>
        </w:rPr>
        <w:t>减</w:t>
      </w:r>
      <w:r>
        <w:rPr>
          <w:rFonts w:hint="eastAsia" w:ascii="宋体" w:hAnsi="宋体" w:eastAsia="仿宋_GB2312" w:cs="Times New Roman"/>
          <w:sz w:val="32"/>
          <w:szCs w:val="32"/>
          <w:lang w:val="en-US" w:eastAsia="zh-CN"/>
        </w:rPr>
        <w:t>105.85</w:t>
      </w:r>
      <w:r>
        <w:rPr>
          <w:rFonts w:hint="eastAsia" w:ascii="宋体" w:hAnsi="宋体" w:eastAsia="仿宋_GB2312" w:cs="Times New Roman"/>
          <w:sz w:val="32"/>
          <w:szCs w:val="32"/>
        </w:rPr>
        <w:t>万元，增长</w:t>
      </w:r>
      <w:r>
        <w:rPr>
          <w:rFonts w:hint="eastAsia" w:ascii="宋体" w:hAnsi="宋体" w:eastAsia="仿宋_GB2312" w:cs="Times New Roman"/>
          <w:sz w:val="32"/>
          <w:szCs w:val="32"/>
          <w:lang w:val="en-US" w:eastAsia="zh-CN"/>
        </w:rPr>
        <w:t>51</w:t>
      </w:r>
      <w:r>
        <w:rPr>
          <w:rFonts w:hint="eastAsia" w:ascii="宋体" w:hAnsi="宋体" w:eastAsia="仿宋_GB2312" w:cs="Times New Roman"/>
          <w:sz w:val="32"/>
          <w:szCs w:val="32"/>
        </w:rPr>
        <w:t>%，主要原因是</w:t>
      </w:r>
      <w:r>
        <w:rPr>
          <w:rFonts w:hint="eastAsia" w:ascii="宋体" w:hAnsi="宋体" w:eastAsia="仿宋_GB2312" w:cs="Times New Roman"/>
          <w:sz w:val="32"/>
          <w:szCs w:val="32"/>
          <w:lang w:eastAsia="zh-CN"/>
        </w:rPr>
        <w:t>减少招商引资商务外出。</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2.政府采购支出情况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年我单位政府采购总额</w:t>
      </w:r>
      <w:r>
        <w:rPr>
          <w:rFonts w:hint="eastAsia" w:ascii="仿宋" w:hAnsi="仿宋" w:eastAsia="仿宋" w:cs="仿宋"/>
          <w:spacing w:val="4"/>
          <w:sz w:val="32"/>
          <w:szCs w:val="32"/>
          <w:lang w:val="en-US" w:eastAsia="zh-CN"/>
        </w:rPr>
        <w:t>2.5</w:t>
      </w:r>
      <w:r>
        <w:rPr>
          <w:rFonts w:hint="eastAsia" w:ascii="宋体" w:hAnsi="宋体" w:eastAsia="仿宋_GB2312" w:cs="Times New Roman"/>
          <w:sz w:val="32"/>
          <w:szCs w:val="32"/>
        </w:rPr>
        <w:t>万元，其中：政府采购货物</w:t>
      </w:r>
      <w:r>
        <w:rPr>
          <w:rFonts w:hint="eastAsia" w:ascii="仿宋" w:hAnsi="仿宋" w:eastAsia="仿宋" w:cs="仿宋"/>
          <w:spacing w:val="4"/>
          <w:sz w:val="32"/>
          <w:szCs w:val="32"/>
          <w:lang w:val="en-US" w:eastAsia="zh-CN"/>
        </w:rPr>
        <w:t>2.5</w:t>
      </w:r>
      <w:r>
        <w:rPr>
          <w:rFonts w:hint="eastAsia" w:ascii="宋体" w:hAnsi="宋体" w:eastAsia="仿宋_GB2312" w:cs="Times New Roman"/>
          <w:sz w:val="32"/>
          <w:szCs w:val="32"/>
        </w:rPr>
        <w:t>万元、政府采购工程</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万元、政府采购服务</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3、国有资产占有情况</w:t>
      </w:r>
    </w:p>
    <w:p>
      <w:pPr>
        <w:ind w:firstLine="640" w:firstLineChars="200"/>
        <w:rPr>
          <w:rFonts w:hint="eastAsia" w:ascii="宋体" w:hAnsi="宋体" w:eastAsia="仿宋_GB2312" w:cs="Times New Roman"/>
          <w:sz w:val="32"/>
          <w:szCs w:val="32"/>
          <w:lang w:eastAsia="zh-CN"/>
        </w:rPr>
      </w:pPr>
      <w:r>
        <w:rPr>
          <w:rFonts w:hint="eastAsia" w:ascii="宋体" w:hAnsi="宋体" w:eastAsia="仿宋_GB2312" w:cs="Times New Roman"/>
          <w:sz w:val="32"/>
          <w:szCs w:val="32"/>
        </w:rPr>
        <w:t>截至</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年12月31日，本部门共有车辆</w:t>
      </w:r>
      <w:r>
        <w:rPr>
          <w:rFonts w:hint="eastAsia" w:ascii="宋体" w:hAnsi="宋体" w:eastAsia="仿宋_GB2312" w:cs="Times New Roman"/>
          <w:sz w:val="32"/>
          <w:szCs w:val="32"/>
          <w:lang w:val="en-US" w:eastAsia="zh-CN"/>
        </w:rPr>
        <w:t>1</w:t>
      </w:r>
      <w:r>
        <w:rPr>
          <w:rFonts w:hint="eastAsia" w:ascii="宋体" w:hAnsi="宋体" w:eastAsia="仿宋_GB2312" w:cs="Times New Roman"/>
          <w:sz w:val="32"/>
          <w:szCs w:val="32"/>
        </w:rPr>
        <w:t>辆，其中，主要领导干部用车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辆、机要通信用车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辆、应急保障用车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辆、执法执勤用车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辆、特种专业技术用车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辆、离退休干部用车</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辆、其他用车</w:t>
      </w:r>
      <w:r>
        <w:rPr>
          <w:rFonts w:hint="eastAsia" w:ascii="宋体" w:hAnsi="宋体" w:eastAsia="仿宋_GB2312" w:cs="Times New Roman"/>
          <w:sz w:val="32"/>
          <w:szCs w:val="32"/>
          <w:lang w:val="en-US" w:eastAsia="zh-CN"/>
        </w:rPr>
        <w:t>1</w:t>
      </w:r>
      <w:r>
        <w:rPr>
          <w:rFonts w:hint="eastAsia" w:ascii="宋体" w:hAnsi="宋体" w:eastAsia="仿宋_GB2312" w:cs="Times New Roman"/>
          <w:sz w:val="32"/>
          <w:szCs w:val="32"/>
        </w:rPr>
        <w:t>辆， 单价50万元（含）以上的通用设备</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台（套）， 单价100万元（含）以上专用设备</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台（套）。</w:t>
      </w:r>
      <w:r>
        <w:rPr>
          <w:rFonts w:hint="eastAsia" w:ascii="宋体" w:hAnsi="宋体" w:eastAsia="仿宋_GB2312" w:cs="Times New Roman"/>
          <w:sz w:val="32"/>
          <w:szCs w:val="32"/>
          <w:lang w:eastAsia="zh-CN"/>
        </w:rPr>
        <w:t>我单位</w:t>
      </w:r>
      <w:r>
        <w:rPr>
          <w:rFonts w:hint="eastAsia" w:ascii="宋体" w:hAnsi="宋体" w:eastAsia="仿宋_GB2312" w:cs="Times New Roman"/>
          <w:sz w:val="32"/>
          <w:szCs w:val="32"/>
        </w:rPr>
        <w:t>无国有资产占用情况的部门</w:t>
      </w:r>
      <w:r>
        <w:rPr>
          <w:rFonts w:hint="eastAsia" w:ascii="宋体" w:hAnsi="宋体" w:eastAsia="仿宋_GB2312" w:cs="Times New Roman"/>
          <w:sz w:val="32"/>
          <w:szCs w:val="32"/>
          <w:lang w:eastAsia="zh-CN"/>
        </w:rPr>
        <w:t>情况。</w:t>
      </w:r>
    </w:p>
    <w:p>
      <w:pPr>
        <w:numPr>
          <w:ilvl w:val="0"/>
          <w:numId w:val="5"/>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绩效管理情况</w:t>
      </w:r>
    </w:p>
    <w:p>
      <w:pPr>
        <w:rPr>
          <w:rFonts w:ascii="宋体" w:hAnsi="宋体" w:eastAsia="仿宋_GB2312" w:cs="Times New Roman"/>
          <w:sz w:val="32"/>
          <w:szCs w:val="32"/>
        </w:rPr>
      </w:pPr>
      <w:r>
        <w:rPr>
          <w:rFonts w:hint="eastAsia" w:ascii="宋体" w:hAnsi="宋体" w:eastAsia="仿宋_GB2312" w:cs="Times New Roman"/>
          <w:sz w:val="32"/>
          <w:szCs w:val="32"/>
        </w:rPr>
        <w:t>(1)项目绩效评价工作开展情况，包括项目绩效目标、支出绩效评价等情况。</w:t>
      </w:r>
    </w:p>
    <w:p>
      <w:pPr>
        <w:rPr>
          <w:rFonts w:ascii="宋体" w:hAnsi="宋体" w:eastAsia="仿宋_GB2312" w:cs="Times New Roman"/>
          <w:sz w:val="32"/>
          <w:szCs w:val="32"/>
        </w:rPr>
      </w:pPr>
      <w:r>
        <w:rPr>
          <w:rFonts w:hint="eastAsia" w:ascii="宋体" w:hAnsi="宋体" w:eastAsia="仿宋_GB2312" w:cs="Times New Roman"/>
          <w:sz w:val="32"/>
          <w:szCs w:val="32"/>
        </w:rPr>
        <w:t>应包括</w:t>
      </w:r>
      <w:r>
        <w:rPr>
          <w:rFonts w:hint="eastAsia" w:ascii="宋体" w:hAnsi="宋体" w:eastAsia="仿宋_GB2312" w:cs="Times New Roman"/>
          <w:sz w:val="32"/>
          <w:szCs w:val="32"/>
          <w:lang w:eastAsia="zh-CN"/>
        </w:rPr>
        <w:t>2021</w:t>
      </w:r>
      <w:r>
        <w:rPr>
          <w:rFonts w:hint="eastAsia" w:ascii="宋体" w:hAnsi="宋体" w:eastAsia="仿宋_GB2312" w:cs="Times New Roman"/>
          <w:sz w:val="32"/>
          <w:szCs w:val="32"/>
        </w:rPr>
        <w:t>年度单位实行绩效目标管理的项目</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个，</w:t>
      </w:r>
    </w:p>
    <w:p>
      <w:pPr>
        <w:rPr>
          <w:rFonts w:ascii="宋体" w:hAnsi="宋体" w:eastAsia="仿宋_GB2312" w:cs="Times New Roman"/>
          <w:sz w:val="32"/>
          <w:szCs w:val="32"/>
        </w:rPr>
      </w:pPr>
      <w:r>
        <w:rPr>
          <w:rFonts w:hint="eastAsia" w:ascii="宋体" w:hAnsi="宋体" w:eastAsia="仿宋_GB2312" w:cs="Times New Roman"/>
          <w:sz w:val="32"/>
          <w:szCs w:val="32"/>
        </w:rPr>
        <w:t>涉及一般公共预算当年拨款</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w:t>
      </w:r>
    </w:p>
    <w:p>
      <w:pPr>
        <w:rPr>
          <w:rFonts w:ascii="宋体" w:hAnsi="宋体" w:eastAsia="仿宋_GB2312" w:cs="Times New Roman"/>
          <w:sz w:val="32"/>
          <w:szCs w:val="32"/>
        </w:rPr>
      </w:pPr>
      <w:r>
        <w:rPr>
          <w:rFonts w:hint="eastAsia" w:ascii="宋体" w:hAnsi="宋体" w:eastAsia="仿宋_GB2312" w:cs="Times New Roman"/>
          <w:sz w:val="32"/>
          <w:szCs w:val="32"/>
        </w:rPr>
        <w:t>(2)绩效评价工作取得的成效。</w:t>
      </w:r>
    </w:p>
    <w:p>
      <w:pPr>
        <w:widowControl/>
        <w:ind w:firstLine="640" w:firstLineChars="200"/>
        <w:jc w:val="left"/>
        <w:rPr>
          <w:rFonts w:ascii="仿宋_GB2312" w:hAnsi="仿宋_GB2312" w:eastAsia="仿宋_GB2312" w:cs="仿宋_GB2312"/>
          <w:color w:val="000000"/>
          <w:kern w:val="0"/>
          <w:sz w:val="31"/>
          <w:szCs w:val="31"/>
        </w:rPr>
      </w:pPr>
      <w:r>
        <w:rPr>
          <w:rFonts w:hint="eastAsia" w:ascii="宋体" w:hAnsi="宋体" w:eastAsia="仿宋_GB2312" w:cs="Times New Roman"/>
          <w:sz w:val="32"/>
          <w:szCs w:val="32"/>
          <w:lang w:val="en-US" w:eastAsia="zh-CN"/>
        </w:rPr>
        <w:t>2021年我单位</w:t>
      </w:r>
      <w:r>
        <w:rPr>
          <w:rFonts w:hint="eastAsia" w:ascii="宋体" w:hAnsi="宋体" w:eastAsia="仿宋_GB2312" w:cs="Times New Roman"/>
          <w:sz w:val="32"/>
          <w:szCs w:val="32"/>
        </w:rPr>
        <w:t>当年未开展绩效管理工作。</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5.政府购买服务指导性目录。</w:t>
      </w:r>
    </w:p>
    <w:p>
      <w:pPr>
        <w:spacing w:line="204" w:lineRule="auto"/>
        <w:ind w:firstLine="656" w:firstLineChars="200"/>
        <w:jc w:val="left"/>
        <w:rPr>
          <w:rFonts w:ascii="仿宋" w:hAnsi="仿宋" w:eastAsia="仿宋" w:cs="仿宋"/>
          <w:spacing w:val="4"/>
          <w:sz w:val="32"/>
          <w:szCs w:val="32"/>
        </w:rPr>
      </w:pPr>
      <w:r>
        <w:rPr>
          <w:rFonts w:hint="eastAsia" w:ascii="仿宋" w:hAnsi="仿宋" w:eastAsia="仿宋" w:cs="仿宋"/>
          <w:spacing w:val="4"/>
          <w:sz w:val="32"/>
          <w:szCs w:val="32"/>
        </w:rPr>
        <w:t>无</w:t>
      </w:r>
    </w:p>
    <w:p>
      <w:pPr>
        <w:ind w:firstLine="2808" w:firstLineChars="900"/>
        <w:outlineLvl w:val="0"/>
        <w:rPr>
          <w:rFonts w:ascii="黑体" w:hAnsi="黑体" w:eastAsia="黑体" w:cs="黑体"/>
          <w:snapToGrid w:val="0"/>
          <w:spacing w:val="-4"/>
          <w:kern w:val="0"/>
          <w:sz w:val="32"/>
          <w:szCs w:val="32"/>
        </w:rPr>
      </w:pPr>
      <w:bookmarkStart w:id="20" w:name="_Toc32537"/>
      <w:bookmarkStart w:id="21" w:name="_Toc8549_WPSOffice_Level1"/>
      <w:r>
        <w:rPr>
          <w:rFonts w:hint="eastAsia" w:ascii="黑体" w:hAnsi="黑体" w:eastAsia="黑体" w:cs="黑体"/>
          <w:snapToGrid w:val="0"/>
          <w:spacing w:val="-4"/>
          <w:kern w:val="0"/>
          <w:sz w:val="32"/>
          <w:szCs w:val="32"/>
        </w:rPr>
        <w:t xml:space="preserve">第四部分 </w:t>
      </w:r>
      <w:r>
        <w:rPr>
          <w:rFonts w:ascii="黑体" w:hAnsi="黑体" w:eastAsia="黑体" w:cs="黑体"/>
          <w:snapToGrid w:val="0"/>
          <w:spacing w:val="-4"/>
          <w:kern w:val="0"/>
          <w:sz w:val="32"/>
          <w:szCs w:val="32"/>
        </w:rPr>
        <w:t>名词解释</w:t>
      </w:r>
      <w:bookmarkEnd w:id="20"/>
      <w:bookmarkEnd w:id="21"/>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财政拨款收入</w:t>
      </w:r>
      <w:r>
        <w:rPr>
          <w:rFonts w:hint="eastAsia" w:ascii="仿宋" w:hAnsi="仿宋" w:eastAsia="仿宋" w:cs="仿宋"/>
          <w:spacing w:val="4"/>
          <w:sz w:val="32"/>
          <w:szCs w:val="32"/>
        </w:rPr>
        <w:t>:指同级财政当年拨付的资金。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上级补助收入</w:t>
      </w:r>
      <w:r>
        <w:rPr>
          <w:rFonts w:hint="eastAsia" w:ascii="仿宋" w:hAnsi="仿宋" w:eastAsia="仿宋" w:cs="仿宋"/>
          <w:spacing w:val="4"/>
          <w:sz w:val="32"/>
          <w:szCs w:val="32"/>
        </w:rPr>
        <w:t>:指事业单位从主管部门和上级单位取得的非财政补助收入。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事业收入</w:t>
      </w:r>
      <w:r>
        <w:rPr>
          <w:rFonts w:hint="eastAsia" w:ascii="仿宋" w:hAnsi="仿宋" w:eastAsia="仿宋" w:cs="仿宋"/>
          <w:spacing w:val="4"/>
          <w:sz w:val="32"/>
          <w:szCs w:val="32"/>
        </w:rPr>
        <w:t>:指事业单位开展专业业务活动及其辅助活动所取得的收入。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经营收入</w:t>
      </w:r>
      <w:r>
        <w:rPr>
          <w:rFonts w:hint="eastAsia" w:ascii="仿宋" w:hAnsi="仿宋" w:eastAsia="仿宋" w:cs="仿宋"/>
          <w:spacing w:val="4"/>
          <w:sz w:val="32"/>
          <w:szCs w:val="32"/>
        </w:rPr>
        <w:t>:指事业单位在专业业务活动及其辅助活动之外开展非独立核算经营活动取得的收入。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附属单位缴款</w:t>
      </w:r>
      <w:r>
        <w:rPr>
          <w:rFonts w:hint="eastAsia" w:ascii="仿宋" w:hAnsi="仿宋" w:eastAsia="仿宋" w:cs="仿宋"/>
          <w:spacing w:val="4"/>
          <w:sz w:val="32"/>
          <w:szCs w:val="32"/>
        </w:rPr>
        <w:t>:指事业单位附属的独立核算单位按有关规定上缴的收入。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其他收入</w:t>
      </w:r>
      <w:r>
        <w:rPr>
          <w:rFonts w:hint="eastAsia" w:ascii="仿宋" w:hAnsi="仿宋" w:eastAsia="仿宋" w:cs="仿宋"/>
          <w:spacing w:val="4"/>
          <w:sz w:val="32"/>
          <w:szCs w:val="32"/>
        </w:rPr>
        <w:t>:指除上述“财政拨款收入”、“事业收入”、“经营收入”、“附属单位缴款”等之外取得的收入。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用事业基金弥补收支差额</w:t>
      </w:r>
      <w:r>
        <w:rPr>
          <w:rFonts w:hint="eastAsia" w:ascii="仿宋" w:hAnsi="仿宋" w:eastAsia="仿宋" w:cs="仿宋"/>
          <w:spacing w:val="4"/>
          <w:sz w:val="32"/>
          <w:szCs w:val="32"/>
        </w:rPr>
        <w:t>:指事业单位在当年的“财政拨款收入”、“财政</w:t>
      </w:r>
      <w:r>
        <w:rPr>
          <w:rFonts w:hint="eastAsia" w:ascii="仿宋" w:hAnsi="仿宋" w:eastAsia="仿宋" w:cs="仿宋"/>
          <w:spacing w:val="4"/>
          <w:sz w:val="32"/>
          <w:szCs w:val="32"/>
          <w:lang w:eastAsia="zh-CN"/>
        </w:rPr>
        <w:t>拨</w:t>
      </w:r>
      <w:r>
        <w:rPr>
          <w:rFonts w:hint="eastAsia" w:ascii="仿宋" w:hAnsi="仿宋" w:eastAsia="仿宋" w:cs="仿宋"/>
          <w:spacing w:val="4"/>
          <w:sz w:val="32"/>
          <w:szCs w:val="32"/>
        </w:rPr>
        <w:t>款结转和结余资金”、“事业收入”、“事业单位经营收入”、“其他区收入”不足以安排当年支出的情况下，使用以前年度积累的事业基金(即事业单位当年收支相抵后按国家规定提取、用于弥补以后年度收支差额的基金)弥补本年度收支缺口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上年结转和结余</w:t>
      </w:r>
      <w:r>
        <w:rPr>
          <w:rFonts w:hint="eastAsia" w:ascii="仿宋" w:hAnsi="仿宋" w:eastAsia="仿宋" w:cs="仿宋"/>
          <w:spacing w:val="4"/>
          <w:sz w:val="32"/>
          <w:szCs w:val="32"/>
        </w:rPr>
        <w:t>：指以前年度支出预算因客观条件变化未执行完毕、结转到本年度按有关规定继续使用的资金，既包括财政拨款结转和结余，也包括事业收入、经营收入、其他收入的结转和结余。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结余分配</w:t>
      </w:r>
      <w:r>
        <w:rPr>
          <w:rFonts w:hint="eastAsia" w:ascii="仿宋" w:hAnsi="仿宋" w:eastAsia="仿宋" w:cs="仿宋"/>
          <w:spacing w:val="4"/>
          <w:sz w:val="32"/>
          <w:szCs w:val="32"/>
        </w:rPr>
        <w:t>：反应单位当年结余的分配情况。</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年末结转和结余</w:t>
      </w:r>
      <w:r>
        <w:rPr>
          <w:rFonts w:hint="eastAsia" w:ascii="仿宋" w:hAnsi="仿宋" w:eastAsia="仿宋" w:cs="仿宋"/>
          <w:spacing w:val="4"/>
          <w:sz w:val="32"/>
          <w:szCs w:val="32"/>
        </w:rPr>
        <w:t>：指本年度或以前年度预算安排、因客观条件发生变化按原计划实施，需要延迟到以后年度按有关规定继续使用的资金，既包括财政拨款结转和结余，也包括事业收入、经营收入、其他收入的结转和结余。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基本支出</w:t>
      </w:r>
      <w:r>
        <w:rPr>
          <w:rFonts w:hint="eastAsia" w:ascii="仿宋" w:hAnsi="仿宋" w:eastAsia="仿宋" w:cs="仿宋"/>
          <w:spacing w:val="4"/>
          <w:sz w:val="32"/>
          <w:szCs w:val="32"/>
        </w:rPr>
        <w:t>：指为保障机构正常运转、完成日常工作任务而发生的人员支出和公用支出。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项目支出</w:t>
      </w:r>
      <w:r>
        <w:rPr>
          <w:rFonts w:hint="eastAsia" w:ascii="仿宋" w:hAnsi="仿宋" w:eastAsia="仿宋" w:cs="仿宋"/>
          <w:spacing w:val="4"/>
          <w:sz w:val="32"/>
          <w:szCs w:val="32"/>
        </w:rPr>
        <w:t>：指在基本支出之外为完成特定行政任务和事业发展目标所发生的支出。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经营支出</w:t>
      </w:r>
      <w:r>
        <w:rPr>
          <w:rFonts w:hint="eastAsia" w:ascii="仿宋" w:hAnsi="仿宋" w:eastAsia="仿宋" w:cs="仿宋"/>
          <w:spacing w:val="4"/>
          <w:sz w:val="32"/>
          <w:szCs w:val="32"/>
        </w:rPr>
        <w:t>：指事业单位在专业业务活动及其辅助活动之外开展非独立核算经营活动发生的支出。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对附属单位补助支出</w:t>
      </w:r>
      <w:r>
        <w:rPr>
          <w:rFonts w:hint="eastAsia" w:ascii="仿宋" w:hAnsi="仿宋" w:eastAsia="仿宋" w:cs="仿宋"/>
          <w:spacing w:val="4"/>
          <w:sz w:val="32"/>
          <w:szCs w:val="32"/>
        </w:rPr>
        <w:t>：指事业单位发生的用非财政预算资金对附属单位的补助支出。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“三公”经费</w:t>
      </w:r>
      <w:r>
        <w:rPr>
          <w:rFonts w:hint="eastAsia" w:ascii="仿宋" w:hAnsi="仿宋" w:eastAsia="仿宋" w:cs="仿宋"/>
          <w:spacing w:val="4"/>
          <w:sz w:val="32"/>
          <w:szCs w:val="32"/>
        </w:rPr>
        <w:t>：纳入同级财政预决算管理的“三公”经费是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等支出；公务接待费反映单位按规定开支的各类公务接待（含外宾接待）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机关运行经费</w:t>
      </w:r>
      <w:r>
        <w:rPr>
          <w:rFonts w:hint="eastAsia" w:ascii="仿宋" w:hAnsi="仿宋" w:eastAsia="仿宋" w:cs="仿宋"/>
          <w:spacing w:val="4"/>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204" w:lineRule="auto"/>
        <w:jc w:val="left"/>
      </w:pPr>
      <w:r>
        <w:rPr>
          <w:rFonts w:hint="eastAsia" w:ascii="仿宋" w:hAnsi="仿宋" w:eastAsia="仿宋" w:cs="仿宋"/>
          <w:b/>
          <w:bCs/>
          <w:spacing w:val="4"/>
          <w:sz w:val="32"/>
          <w:szCs w:val="32"/>
        </w:rPr>
        <w:t>其他需要解释的名词</w:t>
      </w:r>
      <w:r>
        <w:rPr>
          <w:rFonts w:hint="eastAsia" w:ascii="仿宋" w:hAnsi="仿宋" w:eastAsia="仿宋" w:cs="仿宋"/>
          <w:spacing w:val="4"/>
          <w:sz w:val="32"/>
          <w:szCs w:val="32"/>
        </w:rPr>
        <w:t>。</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1D17377"/>
    <w:multiLevelType w:val="singleLevel"/>
    <w:tmpl w:val="B1D17377"/>
    <w:lvl w:ilvl="0" w:tentative="0">
      <w:start w:val="3"/>
      <w:numFmt w:val="chineseCounting"/>
      <w:suff w:val="nothing"/>
      <w:lvlText w:val="（%1）"/>
      <w:lvlJc w:val="left"/>
      <w:rPr>
        <w:rFonts w:hint="eastAsia"/>
      </w:rPr>
    </w:lvl>
  </w:abstractNum>
  <w:abstractNum w:abstractNumId="1">
    <w:nsid w:val="0CAE0828"/>
    <w:multiLevelType w:val="singleLevel"/>
    <w:tmpl w:val="0CAE0828"/>
    <w:lvl w:ilvl="0" w:tentative="0">
      <w:start w:val="8"/>
      <w:numFmt w:val="chineseCounting"/>
      <w:suff w:val="nothing"/>
      <w:lvlText w:val="%1、"/>
      <w:lvlJc w:val="left"/>
      <w:rPr>
        <w:rFonts w:hint="eastAsia"/>
      </w:rPr>
    </w:lvl>
  </w:abstractNum>
  <w:abstractNum w:abstractNumId="2">
    <w:nsid w:val="32CD2E15"/>
    <w:multiLevelType w:val="singleLevel"/>
    <w:tmpl w:val="32CD2E15"/>
    <w:lvl w:ilvl="0" w:tentative="0">
      <w:start w:val="1"/>
      <w:numFmt w:val="chineseCounting"/>
      <w:suff w:val="nothing"/>
      <w:lvlText w:val="（%1）"/>
      <w:lvlJc w:val="left"/>
      <w:rPr>
        <w:rFonts w:hint="eastAsia"/>
      </w:rPr>
    </w:lvl>
  </w:abstractNum>
  <w:abstractNum w:abstractNumId="3">
    <w:nsid w:val="40B6F801"/>
    <w:multiLevelType w:val="singleLevel"/>
    <w:tmpl w:val="40B6F801"/>
    <w:lvl w:ilvl="0" w:tentative="0">
      <w:start w:val="4"/>
      <w:numFmt w:val="decimal"/>
      <w:lvlText w:val="%1."/>
      <w:lvlJc w:val="left"/>
      <w:pPr>
        <w:tabs>
          <w:tab w:val="left" w:pos="312"/>
        </w:tabs>
      </w:pPr>
    </w:lvl>
  </w:abstractNum>
  <w:abstractNum w:abstractNumId="4">
    <w:nsid w:val="6AF4BF66"/>
    <w:multiLevelType w:val="singleLevel"/>
    <w:tmpl w:val="6AF4BF66"/>
    <w:lvl w:ilvl="0" w:tentative="0">
      <w:start w:val="1"/>
      <w:numFmt w:val="chineseCounting"/>
      <w:suff w:val="nothing"/>
      <w:lvlText w:val="%1、"/>
      <w:lvlJc w:val="left"/>
      <w:rPr>
        <w:rFonts w:hint="eastAsia"/>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3F0B7D"/>
    <w:rsid w:val="000014A7"/>
    <w:rsid w:val="00052B5B"/>
    <w:rsid w:val="00774AFB"/>
    <w:rsid w:val="00E4217F"/>
    <w:rsid w:val="01A733EC"/>
    <w:rsid w:val="0E115DFD"/>
    <w:rsid w:val="11D27EAE"/>
    <w:rsid w:val="154222ED"/>
    <w:rsid w:val="15D70FF9"/>
    <w:rsid w:val="184B14B9"/>
    <w:rsid w:val="1AA121E4"/>
    <w:rsid w:val="1CF46060"/>
    <w:rsid w:val="1D5C1A72"/>
    <w:rsid w:val="1FE2584F"/>
    <w:rsid w:val="20D97C1B"/>
    <w:rsid w:val="23553F43"/>
    <w:rsid w:val="25F969F8"/>
    <w:rsid w:val="26095E52"/>
    <w:rsid w:val="2859279A"/>
    <w:rsid w:val="299664C8"/>
    <w:rsid w:val="2C8B5ED0"/>
    <w:rsid w:val="31097D0B"/>
    <w:rsid w:val="333C35D8"/>
    <w:rsid w:val="3F28132A"/>
    <w:rsid w:val="49221B6F"/>
    <w:rsid w:val="4A3D2AA8"/>
    <w:rsid w:val="4BD44D46"/>
    <w:rsid w:val="4CA672B4"/>
    <w:rsid w:val="4CB342C8"/>
    <w:rsid w:val="50F268C4"/>
    <w:rsid w:val="521B0A7C"/>
    <w:rsid w:val="544B7B6F"/>
    <w:rsid w:val="6544153D"/>
    <w:rsid w:val="68CD37BD"/>
    <w:rsid w:val="6C940C35"/>
    <w:rsid w:val="771C77AF"/>
    <w:rsid w:val="7BC97448"/>
    <w:rsid w:val="7C676D91"/>
    <w:rsid w:val="7E3F0B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First Indent"/>
    <w:basedOn w:val="3"/>
    <w:unhideWhenUsed/>
    <w:qFormat/>
    <w:uiPriority w:val="99"/>
    <w:pPr>
      <w:spacing w:after="0"/>
      <w:ind w:firstLine="420"/>
    </w:pPr>
  </w:style>
  <w:style w:type="paragraph" w:styleId="3">
    <w:name w:val="Body Text"/>
    <w:basedOn w:val="1"/>
    <w:unhideWhenUsed/>
    <w:qFormat/>
    <w:uiPriority w:val="99"/>
    <w:pPr>
      <w:spacing w:after="12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Hyperlink"/>
    <w:basedOn w:val="7"/>
    <w:unhideWhenUsed/>
    <w:qFormat/>
    <w:uiPriority w:val="99"/>
    <w:rPr>
      <w:color w:val="0000FF"/>
      <w:u w:val="single"/>
    </w:rPr>
  </w:style>
  <w:style w:type="paragraph" w:customStyle="1" w:styleId="9">
    <w:name w:val="WPSOffice手动目录 1"/>
    <w:qFormat/>
    <w:uiPriority w:val="0"/>
    <w:rPr>
      <w:rFonts w:ascii="Times New Roman" w:hAnsi="Times New Roman" w:eastAsia="宋体" w:cs="Times New Roman"/>
      <w:lang w:val="en-US" w:eastAsia="zh-CN" w:bidi="ar-SA"/>
    </w:rPr>
  </w:style>
  <w:style w:type="paragraph" w:customStyle="1" w:styleId="10">
    <w:name w:val="WPSOffice手动目录 2"/>
    <w:qFormat/>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8</Pages>
  <Words>2856</Words>
  <Characters>709</Characters>
  <Lines>5</Lines>
  <Paragraphs>7</Paragraphs>
  <TotalTime>0</TotalTime>
  <ScaleCrop>false</ScaleCrop>
  <LinksUpToDate>false</LinksUpToDate>
  <CharactersWithSpaces>3558</CharactersWithSpaces>
  <Application>WPS Office_11.8.2.8576_F1E327BC-269C-435d-A152-05C5408002CA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2021-10-28T10:29:00Z</dcterms:created>
  <dc:creator>Administrator</dc:creator>
  <cp:lastModifiedBy>work</cp:lastModifiedBy>
  <cp:lastPrinted>2021-10-28T11:45:00Z</cp:lastPrinted>
  <dcterms:modified xsi:type="dcterms:W3CDTF">2022-10-20T10:12:14Z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2052-11.8.2.8576</vt:lpwstr>
  </property>
  <property fmtid="{D5CDD505-2E9C-101B-9397-08002B2CF9AE}" pid="3" name="ICV">
    <vt:lpwstr>3CC5FBEF6EDD480CA8A6D9E4AFC5A60B</vt:lpwstr>
  </property>
</Properties>
</file>