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朔州市朔城区商务局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00" w:firstLineChars="200"/>
        <w:rPr>
          <w:rFonts w:ascii="仿宋" w:hAnsi="仿宋" w:eastAsia="仿宋" w:cs="仿宋"/>
          <w:sz w:val="32"/>
          <w:szCs w:val="32"/>
        </w:rPr>
      </w:pPr>
      <w:r>
        <w:rPr>
          <w:rFonts w:hint="eastAsia" w:ascii="仿宋" w:hAnsi="仿宋" w:eastAsia="仿宋" w:cs="仿宋"/>
          <w:sz w:val="30"/>
          <w:szCs w:val="30"/>
        </w:rPr>
        <w:t>商务局转变商务管理职能，强化商务发展规划、运行监测和信息发布职能，主动服务新技术新产业新业态发展，进一步优化营商环境，推动贸易与投资自由化便利化，促进开放型经济和商贸流通业高质量发展。大力加强效能建设，进一步优化行政流程，加大政务公开力度，提高商务公共服务能力与水平</w:t>
      </w:r>
      <w:r>
        <w:rPr>
          <w:rFonts w:hint="eastAsia" w:ascii="仿宋" w:hAnsi="仿宋" w:eastAsia="仿宋" w:cs="仿宋"/>
          <w:sz w:val="30"/>
          <w:szCs w:val="30"/>
          <w:lang w:eastAsia="zh-CN"/>
        </w:rPr>
        <w:t>。</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个科室，下属</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个单位。从预算单位构成看，</w:t>
      </w:r>
      <w:r>
        <w:rPr>
          <w:rFonts w:hint="eastAsia" w:ascii="宋体" w:hAnsi="宋体" w:eastAsia="仿宋_GB2312" w:cs="Times New Roman"/>
          <w:sz w:val="32"/>
          <w:szCs w:val="32"/>
          <w:lang w:eastAsia="zh-CN"/>
        </w:rPr>
        <w:t>朔州市朔城区商务局</w:t>
      </w:r>
      <w:r>
        <w:rPr>
          <w:rFonts w:hint="eastAsia" w:ascii="宋体" w:hAnsi="宋体" w:eastAsia="仿宋_GB2312" w:cs="Times New Roman"/>
          <w:sz w:val="32"/>
          <w:szCs w:val="32"/>
        </w:rPr>
        <w:t>部门决算包括：本级决算</w:t>
      </w:r>
      <w:r>
        <w:rPr>
          <w:rFonts w:hint="eastAsia" w:ascii="宋体" w:hAnsi="宋体" w:eastAsia="仿宋_GB2312" w:cs="Times New Roman"/>
          <w:sz w:val="32"/>
          <w:szCs w:val="32"/>
          <w:lang w:eastAsia="zh-CN"/>
        </w:rPr>
        <w:t>。</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1031.22</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1031.22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536.13</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536.13</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增加数字消费卷项目</w:t>
      </w:r>
      <w:r>
        <w:rPr>
          <w:rFonts w:hint="eastAsia" w:ascii="宋体" w:hAnsi="宋体" w:eastAsia="仿宋_GB2312" w:cs="Times New Roman"/>
          <w:sz w:val="32"/>
          <w:szCs w:val="32"/>
          <w:lang w:val="en-US" w:eastAsia="zh-CN"/>
        </w:rPr>
        <w:t>500万元，退休职工死亡抚恤金60.07万元，企业补助136.72万元，小企业补助25万元，商业服务减少12.46万元，粮油物资储备减少173.47万元（招商引资、委托业务）</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1031.22</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1031.22</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1031.22</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256.38</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774.85</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1031.22</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1031.22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536.13</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51</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增加数字消费卷项目</w:t>
      </w:r>
      <w:r>
        <w:rPr>
          <w:rFonts w:hint="eastAsia" w:ascii="宋体" w:hAnsi="宋体" w:eastAsia="仿宋_GB2312" w:cs="Times New Roman"/>
          <w:sz w:val="32"/>
          <w:szCs w:val="32"/>
          <w:lang w:val="en-US" w:eastAsia="zh-CN"/>
        </w:rPr>
        <w:t>500万元，退休职工死亡抚恤金60.07万元，企业补助136.72万元，小企业补助25万元，商业服务减少12.46万元，粮油物资储备减少173.47万元（招商引资、委托业务）。</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1031.22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536.13</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增加数字消费卷项目</w:t>
      </w:r>
      <w:r>
        <w:rPr>
          <w:rFonts w:hint="eastAsia" w:ascii="宋体" w:hAnsi="宋体" w:eastAsia="仿宋_GB2312" w:cs="Times New Roman"/>
          <w:sz w:val="32"/>
          <w:szCs w:val="32"/>
          <w:lang w:val="en-US" w:eastAsia="zh-CN"/>
        </w:rPr>
        <w:t>500万元，退休职工死亡抚恤金60.07万元，企业补助136.72万元，小企业补助25万元，商业服务减少12.46万元，粮油物资储备减少173.47万元（招商引资、委托业务）。</w:t>
      </w:r>
      <w:r>
        <w:rPr>
          <w:rFonts w:hint="eastAsia" w:ascii="宋体" w:hAnsi="宋体" w:eastAsia="仿宋_GB2312" w:cs="Times New Roman"/>
          <w:sz w:val="32"/>
          <w:szCs w:val="32"/>
        </w:rPr>
        <w:t xml:space="preserve"> </w:t>
      </w:r>
    </w:p>
    <w:p>
      <w:pPr>
        <w:rPr>
          <w:rFonts w:hint="default" w:ascii="宋体" w:hAnsi="宋体" w:eastAsia="仿宋_GB2312" w:cs="Times New Roman"/>
          <w:sz w:val="32"/>
          <w:szCs w:val="32"/>
          <w:highlight w:val="red"/>
          <w:lang w:val="en-US" w:eastAsia="zh-CN"/>
        </w:rPr>
      </w:pPr>
      <w:r>
        <w:rPr>
          <w:rFonts w:hint="eastAsia" w:ascii="宋体" w:hAnsi="宋体" w:eastAsia="仿宋_GB2312" w:cs="Times New Roman"/>
          <w:sz w:val="32"/>
          <w:szCs w:val="32"/>
        </w:rPr>
        <w:t>2.财政拨款支出决算结构情况</w:t>
      </w:r>
      <w:r>
        <w:rPr>
          <w:rFonts w:hint="eastAsia" w:ascii="宋体" w:hAnsi="宋体" w:eastAsia="仿宋_GB2312" w:cs="Times New Roman"/>
          <w:sz w:val="32"/>
          <w:szCs w:val="32"/>
          <w:lang w:val="en-US" w:eastAsia="zh-CN"/>
        </w:rPr>
        <w:t xml:space="preserve"> </w:t>
      </w:r>
    </w:p>
    <w:p>
      <w:pPr>
        <w:spacing w:line="360" w:lineRule="auto"/>
        <w:ind w:firstLine="640" w:firstLineChars="200"/>
        <w:rPr>
          <w:rFonts w:ascii="仿宋" w:hAnsi="仿宋" w:eastAsia="仿宋" w:cs="仿宋"/>
          <w:sz w:val="32"/>
          <w:szCs w:val="32"/>
          <w:highlight w:val="red"/>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1031.22</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highlight w:val="none"/>
          <w:lang w:val="en-US" w:eastAsia="zh-CN"/>
        </w:rPr>
        <w:t>2220101</w:t>
      </w:r>
      <w:r>
        <w:rPr>
          <w:rFonts w:hint="eastAsia" w:ascii="宋体" w:hAnsi="宋体" w:eastAsia="仿宋_GB2312" w:cs="Times New Roman"/>
          <w:sz w:val="32"/>
          <w:szCs w:val="32"/>
          <w:highlight w:val="none"/>
          <w:lang w:eastAsia="zh-CN"/>
        </w:rPr>
        <w:t>行政运行</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224.56</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21.8</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2220102一般行政管理事务支出4.05万元，占0.3%；2220103</w:t>
      </w:r>
      <w:r>
        <w:rPr>
          <w:rFonts w:hint="eastAsia" w:ascii="宋体" w:hAnsi="宋体" w:eastAsia="仿宋_GB2312" w:cs="Times New Roman"/>
          <w:sz w:val="32"/>
          <w:szCs w:val="32"/>
          <w:highlight w:val="none"/>
          <w:lang w:eastAsia="zh-CN"/>
        </w:rPr>
        <w:t>机关服务</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31.82</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3.1</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2011399其他商贸事物</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500</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48.5</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2069999其他科学技术</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136.72</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13.3</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2080801死亡抚恤</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60.07</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5.8</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2150899其他支持中小企业发展和管理</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25</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2.5</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2169999其他商业服务业等支出</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45</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4.4</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2299999其他</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4</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0.3</w:t>
      </w:r>
      <w:r>
        <w:rPr>
          <w:rFonts w:hint="eastAsia" w:ascii="宋体" w:hAnsi="宋体" w:eastAsia="仿宋_GB2312" w:cs="Times New Roman"/>
          <w:sz w:val="32"/>
          <w:szCs w:val="32"/>
          <w:highlight w:val="none"/>
        </w:rPr>
        <w:t>%</w:t>
      </w:r>
      <w:r>
        <w:rPr>
          <w:rFonts w:hint="eastAsia" w:ascii="仿宋" w:hAnsi="仿宋" w:eastAsia="仿宋" w:cs="仿宋"/>
          <w:spacing w:val="4"/>
          <w:sz w:val="32"/>
          <w:szCs w:val="32"/>
          <w:highlight w:val="none"/>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1031.22</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1031.22</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hint="eastAsia" w:ascii="宋体" w:hAnsi="宋体" w:eastAsia="仿宋_GB2312" w:cs="Times New Roman"/>
          <w:sz w:val="32"/>
          <w:szCs w:val="32"/>
          <w:lang w:val="en-US" w:eastAsia="zh-CN"/>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256.38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196.64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189.09</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7.55</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59.74</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59.74</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highlight w:val="none"/>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1.9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1.9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与同年预算相比无变化，</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0.1</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财政核减0.1万元</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highlight w:val="none"/>
        </w:rPr>
        <w:t>；公务接待费</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highlight w:val="none"/>
        </w:rPr>
        <w:t>；公务用车运行维护费</w:t>
      </w:r>
      <w:r>
        <w:rPr>
          <w:rFonts w:hint="eastAsia" w:ascii="仿宋" w:hAnsi="仿宋" w:eastAsia="仿宋" w:cs="仿宋"/>
          <w:spacing w:val="4"/>
          <w:sz w:val="32"/>
          <w:szCs w:val="32"/>
          <w:highlight w:val="none"/>
          <w:lang w:val="en-US" w:eastAsia="zh-CN"/>
        </w:rPr>
        <w:t>1.9</w:t>
      </w:r>
      <w:r>
        <w:rPr>
          <w:rFonts w:hint="eastAsia" w:ascii="宋体" w:hAnsi="宋体" w:eastAsia="仿宋_GB2312" w:cs="Times New Roman"/>
          <w:sz w:val="32"/>
          <w:szCs w:val="32"/>
          <w:highlight w:val="none"/>
        </w:rPr>
        <w:t>万元，比上年</w:t>
      </w:r>
      <w:r>
        <w:rPr>
          <w:rFonts w:hint="eastAsia" w:ascii="仿宋" w:hAnsi="仿宋" w:eastAsia="仿宋" w:cs="仿宋"/>
          <w:spacing w:val="4"/>
          <w:sz w:val="32"/>
          <w:szCs w:val="32"/>
          <w:highlight w:val="none"/>
        </w:rPr>
        <w:t>减少</w:t>
      </w:r>
      <w:r>
        <w:rPr>
          <w:rFonts w:hint="eastAsia" w:ascii="仿宋" w:hAnsi="仿宋" w:eastAsia="仿宋" w:cs="仿宋"/>
          <w:spacing w:val="4"/>
          <w:sz w:val="32"/>
          <w:szCs w:val="32"/>
          <w:highlight w:val="none"/>
          <w:lang w:val="en-US" w:eastAsia="zh-CN"/>
        </w:rPr>
        <w:t>0.1</w:t>
      </w:r>
      <w:r>
        <w:rPr>
          <w:rFonts w:hint="eastAsia" w:ascii="宋体" w:hAnsi="宋体" w:eastAsia="仿宋_GB2312" w:cs="Times New Roman"/>
          <w:sz w:val="32"/>
          <w:szCs w:val="32"/>
          <w:highlight w:val="none"/>
        </w:rPr>
        <w:t>万元，原因是</w:t>
      </w:r>
      <w:r>
        <w:rPr>
          <w:rFonts w:hint="eastAsia" w:ascii="宋体" w:hAnsi="宋体" w:eastAsia="仿宋_GB2312" w:cs="Times New Roman"/>
          <w:sz w:val="32"/>
          <w:szCs w:val="32"/>
          <w:highlight w:val="none"/>
          <w:lang w:val="en-US" w:eastAsia="zh-CN"/>
        </w:rPr>
        <w:t>财政核减0.1万元</w:t>
      </w:r>
      <w:r>
        <w:rPr>
          <w:rFonts w:hint="eastAsia" w:ascii="宋体" w:hAnsi="宋体" w:eastAsia="仿宋_GB2312" w:cs="Times New Roman"/>
          <w:sz w:val="32"/>
          <w:szCs w:val="32"/>
          <w:highlight w:val="none"/>
        </w:rPr>
        <w:t>；公务用车购置费</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highlight w:val="none"/>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numPr>
          <w:ilvl w:val="0"/>
          <w:numId w:val="0"/>
        </w:numPr>
        <w:ind w:firstLine="6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我单位2021年度无政府性基金预算。</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eastAsia" w:ascii="宋体" w:hAnsi="宋体" w:eastAsia="仿宋_GB2312" w:cs="Times New Roman"/>
          <w:sz w:val="32"/>
          <w:szCs w:val="32"/>
          <w:highlight w:val="red"/>
          <w:lang w:eastAsia="zh-CN"/>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59.74</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105.85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51</w:t>
      </w:r>
      <w:r>
        <w:rPr>
          <w:rFonts w:hint="eastAsia" w:ascii="宋体" w:hAnsi="宋体" w:eastAsia="仿宋_GB2312" w:cs="Times New Roman"/>
          <w:sz w:val="32"/>
          <w:szCs w:val="32"/>
        </w:rPr>
        <w:t>%，</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本年度招商引资外出减少，相对于上年招商引资费用减少。</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2.5</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2.5</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val="en-US" w:eastAsia="zh-CN"/>
        </w:rPr>
        <w:t>2021年我单位</w:t>
      </w: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GZiMmM0OWYxZGYzYzA1YjFjYTMzMTk5NTRiMzcifQ=="/>
  </w:docVars>
  <w:rsids>
    <w:rsidRoot w:val="7E3F0B7D"/>
    <w:rsid w:val="000014A7"/>
    <w:rsid w:val="00052B5B"/>
    <w:rsid w:val="00774AFB"/>
    <w:rsid w:val="00E4217F"/>
    <w:rsid w:val="0E115DFD"/>
    <w:rsid w:val="0F363568"/>
    <w:rsid w:val="11D27EAE"/>
    <w:rsid w:val="14885C9A"/>
    <w:rsid w:val="1897498D"/>
    <w:rsid w:val="20D97C1B"/>
    <w:rsid w:val="23553F43"/>
    <w:rsid w:val="299664C8"/>
    <w:rsid w:val="2DE607B7"/>
    <w:rsid w:val="3F28132A"/>
    <w:rsid w:val="49221B6F"/>
    <w:rsid w:val="4F405D22"/>
    <w:rsid w:val="506E5BEE"/>
    <w:rsid w:val="56CC2F39"/>
    <w:rsid w:val="5F0E1A80"/>
    <w:rsid w:val="6544153D"/>
    <w:rsid w:val="68CD37BD"/>
    <w:rsid w:val="68F77E6E"/>
    <w:rsid w:val="6C940C35"/>
    <w:rsid w:val="6EB86CA5"/>
    <w:rsid w:val="74C81BC6"/>
    <w:rsid w:val="76067942"/>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3103</Words>
  <Characters>3515</Characters>
  <Lines>5</Lines>
  <Paragraphs>7</Paragraphs>
  <TotalTime>3</TotalTime>
  <ScaleCrop>false</ScaleCrop>
  <LinksUpToDate>false</LinksUpToDate>
  <CharactersWithSpaces>3573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小刚</cp:lastModifiedBy>
  <cp:lastPrinted>2022-10-20T01:58:39Z</cp:lastPrinted>
  <dcterms:modified xsi:type="dcterms:W3CDTF">2022-10-20T01:58:53Z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C5D8213490624546BFDEA7943B34B527</vt:lpwstr>
  </property>
</Properties>
</file>