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朔州市朔城区商贸发展促进中心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hint="eastAsia" w:ascii="仿宋" w:hAnsi="仿宋" w:eastAsia="仿宋" w:cs="仿宋"/>
          <w:b w:val="0"/>
          <w:bCs/>
          <w:color w:val="auto"/>
          <w:sz w:val="30"/>
          <w:szCs w:val="30"/>
          <w:highlight w:val="none"/>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宋体" w:hAnsi="宋体" w:eastAsia="仿宋_GB2312" w:cs="Times New Roman"/>
          <w:sz w:val="32"/>
          <w:szCs w:val="32"/>
          <w:lang w:val="en-US" w:eastAsia="zh-CN"/>
        </w:rPr>
        <w:t>根据授权，贯彻落实促进商贸企业发展的有关政策措施，负责区商贸企业发展促进工作；负责全区社会消费品零售总额统计工作；按归口负责中心商贸企业服务平台有关工作；承担区属商贸改制企业“双协解”职工后续管理及移交社区工作。</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lang w:val="en-US" w:eastAsia="zh-CN"/>
        </w:rPr>
        <w:t>朔州市朔城区商贸发展促进中心机构改革属朔州市朔城区商务局下设事业单位，股站级建制，公益一类，</w:t>
      </w:r>
      <w:r>
        <w:rPr>
          <w:rFonts w:hint="eastAsia" w:ascii="宋体" w:hAnsi="宋体" w:eastAsia="仿宋_GB2312" w:cs="Times New Roman"/>
          <w:sz w:val="32"/>
          <w:szCs w:val="32"/>
          <w:lang w:eastAsia="zh-CN"/>
        </w:rPr>
        <w:t>无下设单位。</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朔州市朔城区商贸发展促进中心</w:t>
      </w:r>
      <w:r>
        <w:rPr>
          <w:rFonts w:hint="eastAsia" w:ascii="宋体" w:hAnsi="宋体" w:eastAsia="仿宋_GB2312" w:cs="Times New Roman"/>
          <w:sz w:val="32"/>
          <w:szCs w:val="32"/>
        </w:rPr>
        <w:t>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273.8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273.8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1.25</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1.25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死亡抚恤增加</w:t>
      </w:r>
      <w:r>
        <w:rPr>
          <w:rFonts w:hint="eastAsia" w:ascii="宋体" w:hAnsi="宋体" w:eastAsia="仿宋_GB2312" w:cs="Times New Roman"/>
          <w:sz w:val="32"/>
          <w:szCs w:val="32"/>
          <w:lang w:val="en-US" w:eastAsia="zh-CN"/>
        </w:rPr>
        <w:t>17.58万元，项目减少6.2万元，人员变动减少10.13万元。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273.8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273.8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273.8</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232.77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41.02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273.8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273.8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1.25</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死亡抚恤增加</w:t>
      </w:r>
      <w:r>
        <w:rPr>
          <w:rFonts w:hint="eastAsia" w:ascii="宋体" w:hAnsi="宋体" w:eastAsia="仿宋_GB2312" w:cs="Times New Roman"/>
          <w:sz w:val="32"/>
          <w:szCs w:val="32"/>
          <w:lang w:val="en-US" w:eastAsia="zh-CN"/>
        </w:rPr>
        <w:t>17.58万元，项目减少6.2万元，人员变动减少10.13万元。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273.8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仿宋" w:hAnsi="仿宋" w:eastAsia="仿宋" w:cs="仿宋"/>
          <w:spacing w:val="-34"/>
          <w:sz w:val="32"/>
          <w:szCs w:val="32"/>
          <w:lang w:val="en-US" w:eastAsia="zh-CN"/>
        </w:rPr>
        <w:t>1.25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死亡抚恤增加</w:t>
      </w:r>
      <w:r>
        <w:rPr>
          <w:rFonts w:hint="eastAsia" w:ascii="宋体" w:hAnsi="宋体" w:eastAsia="仿宋_GB2312" w:cs="Times New Roman"/>
          <w:sz w:val="32"/>
          <w:szCs w:val="32"/>
          <w:lang w:val="en-US" w:eastAsia="zh-CN"/>
        </w:rPr>
        <w:t>17.58万元，项目减少6.2万元，人员变动减少10.13万元。</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highlight w:val="none"/>
          <w:lang w:eastAsia="zh-CN"/>
        </w:rPr>
      </w:pPr>
      <w:bookmarkStart w:id="14" w:name="_Toc1066_WPSOffice_Level2"/>
      <w:bookmarkStart w:id="15" w:name="_Toc27424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仿宋" w:hAnsi="仿宋" w:eastAsia="仿宋" w:cs="仿宋"/>
          <w:sz w:val="32"/>
          <w:szCs w:val="32"/>
          <w:highlight w:val="none"/>
          <w:lang w:val="en-US" w:eastAsia="zh-CN"/>
        </w:rPr>
        <w:t>273.8</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2080801死亡抚恤</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41.02</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14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21602</w:t>
      </w:r>
      <w:r>
        <w:rPr>
          <w:rFonts w:hint="eastAsia" w:ascii="宋体" w:hAnsi="宋体" w:eastAsia="仿宋_GB2312" w:cs="Times New Roman"/>
          <w:sz w:val="32"/>
          <w:szCs w:val="32"/>
          <w:highlight w:val="none"/>
          <w:lang w:eastAsia="zh-CN"/>
        </w:rPr>
        <w:t>商业流通事务</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154.78</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，其中</w:t>
      </w:r>
      <w:r>
        <w:rPr>
          <w:rFonts w:hint="eastAsia" w:ascii="宋体" w:hAnsi="宋体" w:eastAsia="仿宋_GB2312" w:cs="Times New Roman"/>
          <w:sz w:val="32"/>
          <w:szCs w:val="32"/>
          <w:highlight w:val="none"/>
          <w:lang w:val="en-US" w:eastAsia="zh-CN"/>
        </w:rPr>
        <w:t>2160201行政运行支出82.79万元</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2160203机关服务支出71.99万元，</w:t>
      </w:r>
      <w:r>
        <w:rPr>
          <w:rFonts w:hint="eastAsia" w:ascii="宋体" w:hAnsi="宋体" w:eastAsia="仿宋_GB2312" w:cs="Times New Roman"/>
          <w:sz w:val="32"/>
          <w:szCs w:val="32"/>
          <w:highlight w:val="none"/>
        </w:rPr>
        <w:t>占</w:t>
      </w:r>
      <w:r>
        <w:rPr>
          <w:rFonts w:hint="eastAsia" w:ascii="宋体" w:hAnsi="宋体" w:eastAsia="仿宋_GB2312" w:cs="Times New Roman"/>
          <w:sz w:val="32"/>
          <w:szCs w:val="32"/>
          <w:highlight w:val="none"/>
          <w:lang w:val="en-US" w:eastAsia="zh-CN"/>
        </w:rPr>
        <w:t>57</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2220103机关服务</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78</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29</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273.8</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273.8</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232.78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227.38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170.4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56.98</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5.40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5.40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pStyle w:val="2"/>
        <w:ind w:left="0" w:leftChars="0" w:firstLine="640" w:firstLineChars="200"/>
        <w:rPr>
          <w:rFonts w:hint="eastAsia" w:ascii="仿宋" w:hAnsi="仿宋" w:eastAsia="仿宋" w:cs="仿宋"/>
          <w:color w:val="auto"/>
          <w:sz w:val="30"/>
          <w:szCs w:val="30"/>
          <w:highlight w:val="none"/>
          <w:lang w:val="en-US" w:eastAsia="zh-CN"/>
        </w:rPr>
      </w:pPr>
      <w:r>
        <w:rPr>
          <w:rFonts w:hint="eastAsia" w:ascii="宋体" w:hAnsi="宋体" w:eastAsia="仿宋_GB2312" w:cs="Times New Roman"/>
          <w:kern w:val="2"/>
          <w:sz w:val="32"/>
          <w:szCs w:val="32"/>
          <w:lang w:val="en-US" w:eastAsia="zh-CN" w:bidi="ar-SA"/>
        </w:rPr>
        <w:t>我单位2021年无“三公”经费支出，与上年相比无变动</w:t>
      </w:r>
      <w:r>
        <w:rPr>
          <w:rFonts w:hint="eastAsia" w:ascii="仿宋" w:hAnsi="仿宋" w:eastAsia="仿宋" w:cs="仿宋"/>
          <w:color w:val="auto"/>
          <w:sz w:val="30"/>
          <w:szCs w:val="30"/>
          <w:highlight w:val="none"/>
          <w:lang w:val="en-US"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度无</w:t>
      </w:r>
      <w:r>
        <w:rPr>
          <w:rFonts w:hint="eastAsia" w:ascii="宋体" w:hAnsi="宋体" w:eastAsia="仿宋_GB2312" w:cs="Times New Roman"/>
          <w:sz w:val="32"/>
          <w:szCs w:val="32"/>
        </w:rPr>
        <w:t>政府性基金</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无机关运行经费</w:t>
      </w:r>
      <w:r>
        <w:rPr>
          <w:rFonts w:hint="eastAsia" w:ascii="宋体" w:hAnsi="宋体" w:eastAsia="仿宋_GB2312" w:cs="Times New Roman"/>
          <w:sz w:val="32"/>
          <w:szCs w:val="32"/>
          <w:lang w:eastAsia="zh-CN"/>
        </w:rPr>
        <w:t>。</w:t>
      </w:r>
      <w:bookmarkStart w:id="20" w:name="_GoBack"/>
      <w:bookmarkEnd w:id="20"/>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rPr>
        <w:t>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8549_WPSOffice_Level1"/>
      <w:bookmarkStart w:id="19"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GZiMmM0OWYxZGYzYzA1YjFjYTMzMTk5NTRiMzcifQ=="/>
  </w:docVars>
  <w:rsids>
    <w:rsidRoot w:val="7E3F0B7D"/>
    <w:rsid w:val="000014A7"/>
    <w:rsid w:val="00052B5B"/>
    <w:rsid w:val="00774AFB"/>
    <w:rsid w:val="00E11CFA"/>
    <w:rsid w:val="00E4217F"/>
    <w:rsid w:val="01963DFA"/>
    <w:rsid w:val="04F11F52"/>
    <w:rsid w:val="06316FD4"/>
    <w:rsid w:val="06812523"/>
    <w:rsid w:val="09F21F50"/>
    <w:rsid w:val="0A892536"/>
    <w:rsid w:val="0E115DFD"/>
    <w:rsid w:val="11D27EAE"/>
    <w:rsid w:val="1E2C2D4D"/>
    <w:rsid w:val="1E7668CE"/>
    <w:rsid w:val="1F6459C9"/>
    <w:rsid w:val="206C05D5"/>
    <w:rsid w:val="20D97C1B"/>
    <w:rsid w:val="23553F43"/>
    <w:rsid w:val="241504A9"/>
    <w:rsid w:val="299664C8"/>
    <w:rsid w:val="29F029A7"/>
    <w:rsid w:val="3A1D10DE"/>
    <w:rsid w:val="3F28132A"/>
    <w:rsid w:val="49221B6F"/>
    <w:rsid w:val="520F4D69"/>
    <w:rsid w:val="60662447"/>
    <w:rsid w:val="633C694B"/>
    <w:rsid w:val="6544153D"/>
    <w:rsid w:val="65BA4847"/>
    <w:rsid w:val="670947B4"/>
    <w:rsid w:val="68CD37BD"/>
    <w:rsid w:val="6B0E462C"/>
    <w:rsid w:val="6C940C35"/>
    <w:rsid w:val="6CE60EC2"/>
    <w:rsid w:val="719239E6"/>
    <w:rsid w:val="7AD40AC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2697</Words>
  <Characters>2923</Characters>
  <Lines>5</Lines>
  <Paragraphs>7</Paragraphs>
  <TotalTime>19</TotalTime>
  <ScaleCrop>false</ScaleCrop>
  <LinksUpToDate>false</LinksUpToDate>
  <CharactersWithSpaces>2981</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2022-10-20T02:33:01Z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5C48F8AE5BA1406FA8834252A36FA16D</vt:lpwstr>
  </property>
</Properties>
</file>