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朔州市朔城区劳动保障监察大队</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宣传劳动保障法律、法规和规章，督促用人单位贯彻执行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检查用人单位遵守劳动保障法律、法规和规章的情况;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受理对违反劳动保障法律、法规或者规章的行为的举报、投诉;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依法纠正和查处违反劳动保障法律、法规或者规章</w:t>
      </w:r>
      <w:r>
        <w:rPr>
          <w:rFonts w:hint="eastAsia" w:ascii="仿宋" w:hAnsi="仿宋" w:eastAsia="仿宋" w:cs="仿宋"/>
          <w:b w:val="0"/>
          <w:bCs w:val="0"/>
          <w:sz w:val="32"/>
          <w:szCs w:val="32"/>
          <w:lang w:val="en-US" w:eastAsia="zh-CN"/>
        </w:rPr>
        <w:t>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5.负责承办劳动人事争议仲裁委员会的日常工作，依法调解和仲裁本辖区内发生的劳动人事争议仲裁案件;为用人单位和职工提供劳动人事争议咨询服务。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6.完成区委、区政府和区人力资源和社会保障局交办的其他工作。</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sz w:val="32"/>
          <w:szCs w:val="32"/>
          <w:lang w:val="en-US" w:eastAsia="zh-CN"/>
        </w:rPr>
        <w:t>我单位为朔城区人力资源和社会保障局下设的财政全额拨款预算单位，我单位为二级单位，级别为副科级。内设机构：综合办、监察执法一分队、监察执法二分队、监察执法三分队、监察执法四分队、劳动人事争议仲裁办。</w:t>
      </w:r>
    </w:p>
    <w:p>
      <w:pPr>
        <w:spacing w:line="204" w:lineRule="auto"/>
        <w:ind w:firstLine="667"/>
        <w:jc w:val="left"/>
        <w:rPr>
          <w:rFonts w:hint="eastAsia" w:ascii="仿宋" w:hAnsi="仿宋" w:eastAsia="仿宋" w:cs="仿宋"/>
          <w:sz w:val="32"/>
          <w:szCs w:val="32"/>
        </w:rPr>
      </w:pPr>
      <w:r>
        <w:rPr>
          <w:rFonts w:hint="eastAsia" w:ascii="仿宋" w:hAnsi="仿宋" w:eastAsia="仿宋" w:cs="仿宋"/>
          <w:b w:val="0"/>
          <w:bCs/>
          <w:color w:val="auto"/>
          <w:sz w:val="32"/>
          <w:szCs w:val="32"/>
          <w:highlight w:val="none"/>
          <w:lang w:val="en-US" w:eastAsia="zh-CN"/>
        </w:rPr>
        <w:t>本次决算公开为本单位决算。</w:t>
      </w:r>
      <w:r>
        <w:rPr>
          <w:rFonts w:hint="eastAsia" w:ascii="仿宋" w:hAnsi="仿宋" w:eastAsia="仿宋" w:cs="仿宋"/>
          <w:sz w:val="32"/>
          <w:szCs w:val="32"/>
        </w:rPr>
        <w:t xml:space="preserve">   </w:t>
      </w:r>
    </w:p>
    <w:p>
      <w:pPr>
        <w:spacing w:line="204" w:lineRule="auto"/>
        <w:ind w:firstLine="667"/>
        <w:jc w:val="left"/>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188.14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188.14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2021年决算数据包括朔城区劳动保障监察大队和朔城区劳动人事争议仲裁院决算数据两单位数据。</w:t>
      </w:r>
      <w:r>
        <w:rPr>
          <w:rFonts w:hint="eastAsia" w:ascii="宋体" w:hAnsi="宋体" w:eastAsia="仿宋_GB2312" w:cs="Times New Roman"/>
          <w:sz w:val="32"/>
          <w:szCs w:val="32"/>
        </w:rPr>
        <w:t xml:space="preserve">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13.4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13.4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2021年劳动保障监察大队</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万元、支出总计</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13.4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7.67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188.14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13.4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劳动保障监察</w:t>
      </w:r>
      <w:r>
        <w:rPr>
          <w:rFonts w:hint="eastAsia" w:ascii="宋体" w:hAnsi="宋体" w:eastAsia="仿宋_GB2312" w:cs="Times New Roman"/>
          <w:sz w:val="32"/>
          <w:szCs w:val="32"/>
          <w:lang w:val="en-US" w:eastAsia="zh-CN"/>
        </w:rPr>
        <w:t>支出153.54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81.61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劳动人事争议仲裁调解</w:t>
      </w:r>
      <w:r>
        <w:rPr>
          <w:rFonts w:hint="eastAsia" w:ascii="宋体" w:hAnsi="宋体" w:eastAsia="仿宋_GB2312" w:cs="Times New Roman"/>
          <w:sz w:val="32"/>
          <w:szCs w:val="32"/>
          <w:lang w:val="en-US" w:eastAsia="zh-CN"/>
        </w:rPr>
        <w:t>支出34.6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18.39</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188.14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188.14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188.14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182.14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180.54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2.64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3.36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lang w:eastAsia="zh-CN"/>
        </w:rPr>
        <w:t>“三公”经费收支</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2"/>
        <w:rPr>
          <w:rFonts w:hint="eastAsia" w:ascii="仿宋" w:hAnsi="仿宋" w:eastAsia="仿宋" w:cs="仿宋"/>
          <w:lang w:eastAsia="zh-CN"/>
        </w:rPr>
      </w:pPr>
      <w:r>
        <w:rPr>
          <w:rFonts w:hint="eastAsia" w:ascii="仿宋" w:hAnsi="仿宋" w:eastAsia="仿宋" w:cs="仿宋"/>
          <w:spacing w:val="-3"/>
          <w:sz w:val="32"/>
          <w:szCs w:val="32"/>
          <w:lang w:eastAsia="zh-CN"/>
        </w:rPr>
        <w:t>　本单位无政府性基金预算收支。</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无机关运行经费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单位政府采购总额</w:t>
      </w:r>
      <w:r>
        <w:rPr>
          <w:rFonts w:hint="eastAsia" w:ascii="仿宋" w:hAnsi="仿宋" w:eastAsia="仿宋" w:cs="仿宋"/>
          <w:spacing w:val="4"/>
          <w:sz w:val="32"/>
          <w:szCs w:val="32"/>
          <w:lang w:val="en-US" w:eastAsia="zh-CN"/>
        </w:rPr>
        <w:t>3.36</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3.36</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2021年无绩效目标管理项目</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g3M2M2ZWFhZTM3M2QxY2EzOWZiNGE0ZjkzNWUifQ=="/>
  </w:docVars>
  <w:rsids>
    <w:rsidRoot w:val="7E3F0B7D"/>
    <w:rsid w:val="000014A7"/>
    <w:rsid w:val="00052B5B"/>
    <w:rsid w:val="00774AFB"/>
    <w:rsid w:val="00E4217F"/>
    <w:rsid w:val="0E115DFD"/>
    <w:rsid w:val="11D27EAE"/>
    <w:rsid w:val="200D117D"/>
    <w:rsid w:val="20D97C1B"/>
    <w:rsid w:val="23553F43"/>
    <w:rsid w:val="26D3799B"/>
    <w:rsid w:val="299664C8"/>
    <w:rsid w:val="3B6267A8"/>
    <w:rsid w:val="3F28132A"/>
    <w:rsid w:val="4187462B"/>
    <w:rsid w:val="45AA73D8"/>
    <w:rsid w:val="47693E14"/>
    <w:rsid w:val="49221B6F"/>
    <w:rsid w:val="49B313BA"/>
    <w:rsid w:val="4E37764F"/>
    <w:rsid w:val="50C921B0"/>
    <w:rsid w:val="5300337B"/>
    <w:rsid w:val="594E2499"/>
    <w:rsid w:val="5A1E5FA7"/>
    <w:rsid w:val="6544153D"/>
    <w:rsid w:val="68CD37BD"/>
    <w:rsid w:val="6AB35212"/>
    <w:rsid w:val="6C940C35"/>
    <w:rsid w:val="6D8E64F8"/>
    <w:rsid w:val="6EB24FAB"/>
    <w:rsid w:val="719A2D36"/>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2584</Words>
  <Characters>2790</Characters>
  <Lines>5</Lines>
  <Paragraphs>7</Paragraphs>
  <TotalTime>20</TotalTime>
  <ScaleCrop>false</ScaleCrop>
  <LinksUpToDate>false</LinksUpToDate>
  <CharactersWithSpaces>2840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2022-09-20T02:00:21Z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64EA206854C9408C8A3D09867B6C0AA8</vt:lpwstr>
  </property>
</Properties>
</file>