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朔州市朔城区综合检验检测中心</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贯彻执行国家食品、农产品、粮</w:t>
      </w:r>
      <w:r>
        <w:rPr>
          <w:rFonts w:hint="eastAsia" w:ascii="仿宋_GB2312" w:hAnsi="仿宋_GB2312" w:eastAsia="仿宋_GB2312" w:cs="仿宋_GB2312"/>
          <w:color w:val="000000"/>
          <w:sz w:val="32"/>
          <w:szCs w:val="32"/>
          <w:lang w:eastAsia="zh-CN"/>
        </w:rPr>
        <w:t>油</w:t>
      </w:r>
      <w:r>
        <w:rPr>
          <w:rFonts w:hint="eastAsia" w:ascii="仿宋_GB2312" w:hAnsi="仿宋_GB2312" w:eastAsia="仿宋_GB2312" w:cs="仿宋_GB2312"/>
          <w:color w:val="000000"/>
          <w:sz w:val="32"/>
          <w:szCs w:val="32"/>
        </w:rPr>
        <w:t>、药品等有关产</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品质量安全法律法规和标准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依据有关规定实施检验检（监）测工作，为推进质量强区提供决策支持、技术支持、服务支持。</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围绕全区产业链及重点行业、重点民生事业，建设具有一流服务能力、竞争力的检验检测机构和公共技术服务平台。</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承担全区食品、农产品、粮</w:t>
      </w:r>
      <w:r>
        <w:rPr>
          <w:rFonts w:hint="eastAsia" w:ascii="仿宋_GB2312" w:hAnsi="仿宋_GB2312" w:eastAsia="仿宋_GB2312" w:cs="仿宋_GB2312"/>
          <w:color w:val="000000"/>
          <w:sz w:val="32"/>
          <w:szCs w:val="32"/>
          <w:lang w:eastAsia="zh-CN"/>
        </w:rPr>
        <w:t>油</w:t>
      </w:r>
      <w:r>
        <w:rPr>
          <w:rFonts w:hint="eastAsia" w:ascii="仿宋_GB2312" w:hAnsi="仿宋_GB2312" w:eastAsia="仿宋_GB2312" w:cs="仿宋_GB2312"/>
          <w:color w:val="000000"/>
          <w:sz w:val="32"/>
          <w:szCs w:val="32"/>
        </w:rPr>
        <w:t>、药品等有关产</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品的监督检验、定期检验、委托检验、应急检验、风险监测等相关技术服务工作。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负责上市药品、化妆品、医疗器械不良事件监测等药物警戒任务。</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开展农业生态环境质量安全调查、检验监测工作。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开展对外业务合作事宜，和国家、省级、市级大型检验检测机构开展合作检验，和高等院校、技术机构开展技术交流和研发工作。</w:t>
      </w:r>
    </w:p>
    <w:p>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承办上级部门和区委、区政府交办的其他事项。</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58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我单位</w:t>
      </w:r>
      <w:r>
        <w:rPr>
          <w:rFonts w:hint="eastAsia" w:ascii="仿宋" w:hAnsi="仿宋" w:eastAsia="仿宋" w:cs="仿宋"/>
          <w:b w:val="0"/>
          <w:bCs/>
          <w:sz w:val="30"/>
          <w:szCs w:val="30"/>
          <w:lang w:val="en-US" w:eastAsia="zh-CN"/>
        </w:rPr>
        <w:t>内设6个科室，</w:t>
      </w:r>
      <w:r>
        <w:rPr>
          <w:rFonts w:hint="eastAsia" w:ascii="仿宋" w:hAnsi="仿宋" w:eastAsia="仿宋" w:cs="仿宋"/>
          <w:b w:val="0"/>
          <w:bCs/>
          <w:sz w:val="30"/>
          <w:szCs w:val="30"/>
          <w:lang w:eastAsia="zh-CN"/>
        </w:rPr>
        <w:t>分别是：</w:t>
      </w:r>
      <w:r>
        <w:rPr>
          <w:rFonts w:hint="eastAsia" w:ascii="仿宋" w:hAnsi="仿宋" w:eastAsia="仿宋" w:cs="仿宋"/>
          <w:b w:val="0"/>
          <w:bCs/>
          <w:sz w:val="30"/>
          <w:szCs w:val="30"/>
          <w:lang w:val="en-US" w:eastAsia="zh-CN"/>
        </w:rPr>
        <w:t>1、综合股；2、财务股；3、药物警戒股；4、检验检测股；5、农业生态环境监测股；6、建设规划股。</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本单位是一级预算单位，无下属单位。从预算单位构成看，本单位部门决算包括：本级决算。</w:t>
      </w:r>
    </w:p>
    <w:p>
      <w:pPr>
        <w:pStyle w:val="2"/>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hint="eastAsia" w:ascii="仿宋" w:hAnsi="仿宋" w:eastAsia="仿宋" w:cs="仿宋"/>
          <w:sz w:val="32"/>
          <w:szCs w:val="32"/>
        </w:rPr>
      </w:pPr>
      <w:r>
        <w:rPr>
          <w:rFonts w:hint="eastAsia" w:ascii="仿宋" w:hAnsi="仿宋" w:eastAsia="仿宋" w:cs="仿宋"/>
          <w:sz w:val="32"/>
          <w:szCs w:val="32"/>
        </w:rPr>
        <w:t>决算公开报表见附件：</w:t>
      </w:r>
    </w:p>
    <w:p>
      <w:pPr>
        <w:pStyle w:val="2"/>
      </w:pP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165.11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165.11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8.14</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8.14</w:t>
      </w:r>
      <w:r>
        <w:rPr>
          <w:rFonts w:hint="eastAsia" w:ascii="宋体" w:hAnsi="宋体" w:eastAsia="仿宋_GB2312" w:cs="Times New Roman"/>
          <w:sz w:val="32"/>
          <w:szCs w:val="32"/>
        </w:rPr>
        <w:t>万元。主要原因是：本年度我单位</w:t>
      </w:r>
      <w:r>
        <w:rPr>
          <w:rFonts w:hint="eastAsia" w:ascii="宋体" w:hAnsi="宋体" w:eastAsia="仿宋_GB2312" w:cs="Times New Roman"/>
          <w:sz w:val="32"/>
          <w:szCs w:val="32"/>
          <w:lang w:val="en-US" w:eastAsia="zh-CN"/>
        </w:rPr>
        <w:t>增加两</w:t>
      </w:r>
      <w:r>
        <w:rPr>
          <w:rFonts w:hint="eastAsia" w:ascii="宋体" w:hAnsi="宋体" w:eastAsia="仿宋_GB2312" w:cs="Times New Roman"/>
          <w:sz w:val="32"/>
          <w:szCs w:val="32"/>
        </w:rPr>
        <w:t>人，并且</w:t>
      </w:r>
      <w:r>
        <w:rPr>
          <w:rFonts w:hint="eastAsia" w:ascii="宋体" w:hAnsi="宋体" w:eastAsia="仿宋_GB2312" w:cs="Times New Roman"/>
          <w:sz w:val="32"/>
          <w:szCs w:val="32"/>
          <w:lang w:val="en-US" w:eastAsia="zh-CN"/>
        </w:rPr>
        <w:t>将办公大院院墙进行维修。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162.88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162.88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165.11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152.82</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12.30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165.11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165.11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8.14</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5.19</w:t>
      </w:r>
      <w:r>
        <w:rPr>
          <w:rFonts w:hint="eastAsia" w:ascii="宋体" w:hAnsi="宋体" w:eastAsia="仿宋_GB2312" w:cs="Times New Roman"/>
          <w:sz w:val="32"/>
          <w:szCs w:val="32"/>
        </w:rPr>
        <w:t>%。主要原因是：本年度我单位</w:t>
      </w:r>
      <w:r>
        <w:rPr>
          <w:rFonts w:hint="eastAsia" w:ascii="宋体" w:hAnsi="宋体" w:eastAsia="仿宋_GB2312" w:cs="Times New Roman"/>
          <w:sz w:val="32"/>
          <w:szCs w:val="32"/>
          <w:lang w:val="en-US" w:eastAsia="zh-CN"/>
        </w:rPr>
        <w:t>增加两</w:t>
      </w:r>
      <w:r>
        <w:rPr>
          <w:rFonts w:hint="eastAsia" w:ascii="宋体" w:hAnsi="宋体" w:eastAsia="仿宋_GB2312" w:cs="Times New Roman"/>
          <w:sz w:val="32"/>
          <w:szCs w:val="32"/>
        </w:rPr>
        <w:t>人，并且</w:t>
      </w:r>
      <w:r>
        <w:rPr>
          <w:rFonts w:hint="eastAsia" w:ascii="宋体" w:hAnsi="宋体" w:eastAsia="仿宋_GB2312" w:cs="Times New Roman"/>
          <w:sz w:val="32"/>
          <w:szCs w:val="32"/>
          <w:lang w:val="en-US" w:eastAsia="zh-CN"/>
        </w:rPr>
        <w:t>将办公大院院墙进行维修。</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165.11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10.38</w:t>
      </w:r>
      <w:r>
        <w:rPr>
          <w:rFonts w:hint="eastAsia" w:ascii="宋体" w:hAnsi="宋体" w:eastAsia="仿宋_GB2312" w:cs="Times New Roman"/>
          <w:sz w:val="32"/>
          <w:szCs w:val="32"/>
        </w:rPr>
        <w:t>万元。主要原因是：本年度我单位</w:t>
      </w:r>
      <w:r>
        <w:rPr>
          <w:rFonts w:hint="eastAsia" w:ascii="宋体" w:hAnsi="宋体" w:eastAsia="仿宋_GB2312" w:cs="Times New Roman"/>
          <w:sz w:val="32"/>
          <w:szCs w:val="32"/>
          <w:lang w:val="en-US" w:eastAsia="zh-CN"/>
        </w:rPr>
        <w:t>增加两</w:t>
      </w:r>
      <w:r>
        <w:rPr>
          <w:rFonts w:hint="eastAsia" w:ascii="宋体" w:hAnsi="宋体" w:eastAsia="仿宋_GB2312" w:cs="Times New Roman"/>
          <w:sz w:val="32"/>
          <w:szCs w:val="32"/>
        </w:rPr>
        <w:t>人，并且</w:t>
      </w:r>
      <w:r>
        <w:rPr>
          <w:rFonts w:hint="eastAsia" w:ascii="宋体" w:hAnsi="宋体" w:eastAsia="仿宋_GB2312" w:cs="Times New Roman"/>
          <w:sz w:val="32"/>
          <w:szCs w:val="32"/>
          <w:lang w:val="en-US" w:eastAsia="zh-CN"/>
        </w:rPr>
        <w:t>将办公大院院墙进行维修。</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165.11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2010301行政运行6.52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3.94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2100101行政运行2.23万元，占1.35%；2100103机关服务156.37万元，占94.71%。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165.11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165.11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152.82</w:t>
      </w:r>
      <w:bookmarkStart w:id="22" w:name="_GoBack"/>
      <w:bookmarkEnd w:id="22"/>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148.92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147.83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1.09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3.90</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3.90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年我单位无“三公”经费支出。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年我单位无政府性基金预算收入支出。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0.22</w:t>
      </w:r>
      <w:r>
        <w:rPr>
          <w:rFonts w:hint="eastAsia" w:ascii="宋体" w:hAnsi="宋体" w:eastAsia="仿宋_GB2312" w:cs="Times New Roman"/>
          <w:sz w:val="32"/>
          <w:szCs w:val="32"/>
        </w:rPr>
        <w:t>万元，其中：政府采购工程</w:t>
      </w:r>
      <w:r>
        <w:rPr>
          <w:rFonts w:hint="eastAsia" w:ascii="宋体" w:hAnsi="宋体" w:eastAsia="仿宋_GB2312" w:cs="Times New Roman"/>
          <w:sz w:val="32"/>
          <w:szCs w:val="32"/>
          <w:lang w:val="en-US" w:eastAsia="zh-CN"/>
        </w:rPr>
        <w:t>0.22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我单位未开展绩效管理工作。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MTM3YzAwZGNkN2JlNzM1OThlYzMxNjU1ODllODIifQ=="/>
  </w:docVars>
  <w:rsids>
    <w:rsidRoot w:val="7E3F0B7D"/>
    <w:rsid w:val="000014A7"/>
    <w:rsid w:val="00052B5B"/>
    <w:rsid w:val="00774AFB"/>
    <w:rsid w:val="00E4217F"/>
    <w:rsid w:val="0E115DFD"/>
    <w:rsid w:val="11D27EAE"/>
    <w:rsid w:val="20D97C1B"/>
    <w:rsid w:val="23553F43"/>
    <w:rsid w:val="299664C8"/>
    <w:rsid w:val="3F28132A"/>
    <w:rsid w:val="49221B6F"/>
    <w:rsid w:val="6544153D"/>
    <w:rsid w:val="68CD37BD"/>
    <w:rsid w:val="6C940C35"/>
    <w:rsid w:val="6FBE28AF"/>
    <w:rsid w:val="7E2124B0"/>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2902</Words>
  <Characters>3106</Characters>
  <Lines>5</Lines>
  <Paragraphs>7</Paragraphs>
  <TotalTime>15</TotalTime>
  <ScaleCrop>false</ScaleCrop>
  <LinksUpToDate>false</LinksUpToDate>
  <CharactersWithSpaces>3170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2022-09-08T07:40:38Z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11E9E996359C4DF2BB1F55E2018BEEF2</vt:lpwstr>
  </property>
</Properties>
</file>