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8"/>
          <w:szCs w:val="48"/>
        </w:rPr>
      </w:pPr>
    </w:p>
    <w:p>
      <w:pPr>
        <w:jc w:val="center"/>
        <w:rPr>
          <w:rFonts w:hint="eastAsia" w:ascii="黑体" w:eastAsia="黑体"/>
          <w:sz w:val="44"/>
          <w:szCs w:val="44"/>
          <w:lang w:val="en-US" w:eastAsia="zh-CN"/>
        </w:rPr>
      </w:pPr>
      <w:r>
        <w:rPr>
          <w:rFonts w:hint="eastAsia" w:ascii="黑体" w:eastAsia="黑体"/>
          <w:sz w:val="44"/>
          <w:szCs w:val="44"/>
          <w:lang w:val="en-US" w:eastAsia="zh-CN"/>
        </w:rPr>
        <w:t>朔州市朔城区退役军人事务局</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400" w:firstLineChars="2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ab/>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宋体" w:eastAsia="仿宋_GB2312" w:cs="宋体"/>
          <w:b w:val="0"/>
          <w:bCs/>
          <w:color w:val="000000"/>
          <w:kern w:val="0"/>
          <w:sz w:val="32"/>
          <w:szCs w:val="32"/>
          <w:lang w:val="en-US" w:eastAsia="zh-CN"/>
        </w:rPr>
      </w:pPr>
      <w:r>
        <w:rPr>
          <w:rFonts w:hint="eastAsia" w:ascii="仿宋_GB2312" w:hAnsi="宋体" w:eastAsia="仿宋_GB2312" w:cs="宋体"/>
          <w:b w:val="0"/>
          <w:bCs/>
          <w:color w:val="000000"/>
          <w:kern w:val="0"/>
          <w:sz w:val="32"/>
          <w:szCs w:val="32"/>
        </w:rPr>
        <w:t>1、</w:t>
      </w:r>
      <w:r>
        <w:rPr>
          <w:rFonts w:hint="eastAsia" w:ascii="仿宋_GB2312" w:hAnsi="宋体" w:eastAsia="仿宋_GB2312" w:cs="宋体"/>
          <w:b w:val="0"/>
          <w:bCs/>
          <w:color w:val="000000"/>
          <w:kern w:val="0"/>
          <w:sz w:val="32"/>
          <w:szCs w:val="32"/>
          <w:lang w:val="en-US" w:eastAsia="zh-CN"/>
        </w:rPr>
        <w:t>负责军队转业干部、复员干部、离退休干部、退役士兵和无军籍退休职工的接收安置工作。</w:t>
      </w:r>
    </w:p>
    <w:p>
      <w:pPr>
        <w:keepNext w:val="0"/>
        <w:keepLines w:val="0"/>
        <w:pageBreakBefore w:val="0"/>
        <w:widowControl w:val="0"/>
        <w:kinsoku/>
        <w:wordWrap/>
        <w:overflowPunct/>
        <w:topLinePunct w:val="0"/>
        <w:autoSpaceDE/>
        <w:autoSpaceDN/>
        <w:bidi w:val="0"/>
        <w:adjustRightInd/>
        <w:snapToGrid/>
        <w:spacing w:line="240" w:lineRule="auto"/>
        <w:ind w:left="958" w:leftChars="304" w:hanging="320" w:hangingChars="100"/>
        <w:textAlignment w:val="auto"/>
        <w:rPr>
          <w:rFonts w:hint="eastAsia" w:ascii="仿宋_GB2312" w:hAnsi="宋体" w:eastAsia="仿宋_GB2312" w:cs="宋体"/>
          <w:b w:val="0"/>
          <w:bCs/>
          <w:color w:val="000000"/>
          <w:kern w:val="0"/>
          <w:sz w:val="32"/>
          <w:szCs w:val="32"/>
        </w:rPr>
      </w:pPr>
      <w:r>
        <w:rPr>
          <w:rFonts w:hint="eastAsia" w:ascii="仿宋_GB2312" w:hAnsi="宋体" w:eastAsia="仿宋_GB2312" w:cs="宋体"/>
          <w:b w:val="0"/>
          <w:bCs/>
          <w:color w:val="000000"/>
          <w:kern w:val="0"/>
          <w:sz w:val="32"/>
          <w:szCs w:val="32"/>
        </w:rPr>
        <w:t>2、</w:t>
      </w:r>
      <w:r>
        <w:rPr>
          <w:rFonts w:hint="eastAsia" w:ascii="仿宋_GB2312" w:hAnsi="宋体" w:eastAsia="仿宋_GB2312" w:cs="宋体"/>
          <w:b w:val="0"/>
          <w:bCs/>
          <w:color w:val="000000"/>
          <w:kern w:val="0"/>
          <w:sz w:val="32"/>
          <w:szCs w:val="32"/>
          <w:lang w:val="en-US" w:eastAsia="zh-CN"/>
        </w:rPr>
        <w:t>组织指导退役军人教育技能培训工作</w:t>
      </w:r>
      <w:r>
        <w:rPr>
          <w:rFonts w:hint="eastAsia" w:ascii="仿宋_GB2312" w:hAnsi="宋体" w:eastAsia="仿宋_GB2312" w:cs="宋体"/>
          <w:b w:val="0"/>
          <w:bCs/>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958" w:leftChars="304" w:hanging="320" w:hangingChars="100"/>
        <w:textAlignment w:val="auto"/>
        <w:rPr>
          <w:rFonts w:ascii="仿宋" w:hAnsi="仿宋" w:eastAsia="仿宋" w:cs="仿宋"/>
          <w:sz w:val="32"/>
          <w:szCs w:val="32"/>
        </w:rPr>
      </w:pPr>
      <w:r>
        <w:rPr>
          <w:rFonts w:hint="eastAsia" w:ascii="仿宋_GB2312" w:hAnsi="宋体" w:eastAsia="仿宋_GB2312" w:cs="宋体"/>
          <w:b w:val="0"/>
          <w:bCs/>
          <w:color w:val="000000"/>
          <w:kern w:val="0"/>
          <w:sz w:val="32"/>
          <w:szCs w:val="32"/>
        </w:rPr>
        <w:t>3</w:t>
      </w:r>
      <w:r>
        <w:rPr>
          <w:rFonts w:hint="eastAsia" w:ascii="仿宋_GB2312" w:hAnsi="宋体" w:eastAsia="仿宋_GB2312" w:cs="宋体"/>
          <w:b w:val="0"/>
          <w:bCs/>
          <w:color w:val="000000"/>
          <w:kern w:val="0"/>
          <w:sz w:val="32"/>
          <w:szCs w:val="32"/>
          <w:lang w:eastAsia="zh-CN"/>
        </w:rPr>
        <w:t>、</w:t>
      </w:r>
      <w:r>
        <w:rPr>
          <w:rFonts w:hint="eastAsia" w:ascii="仿宋_GB2312" w:hAnsi="宋体" w:eastAsia="仿宋_GB2312" w:cs="宋体"/>
          <w:b w:val="0"/>
          <w:bCs/>
          <w:color w:val="000000"/>
          <w:kern w:val="0"/>
          <w:sz w:val="32"/>
          <w:szCs w:val="32"/>
          <w:lang w:val="en-US" w:eastAsia="zh-CN"/>
        </w:rPr>
        <w:t>组织开展全区拥军优属工作、负责现役军人、退役军人、军队文职人员和军属优待、抚恤等工作。</w:t>
      </w:r>
      <w:r>
        <w:rPr>
          <w:rFonts w:hint="eastAsia" w:ascii="仿宋" w:hAnsi="仿宋" w:eastAsia="仿宋" w:cs="仿宋"/>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ascii="仿宋" w:hAnsi="仿宋" w:eastAsia="仿宋" w:cs="仿宋"/>
          <w:sz w:val="32"/>
          <w:szCs w:val="32"/>
        </w:rPr>
      </w:pPr>
      <w:r>
        <w:rPr>
          <w:rFonts w:hint="eastAsia" w:ascii="仿宋" w:hAnsi="仿宋" w:eastAsia="仿宋" w:cs="仿宋"/>
          <w:sz w:val="32"/>
          <w:szCs w:val="32"/>
        </w:rPr>
        <w:t>部门机构设置</w:t>
      </w:r>
    </w:p>
    <w:p>
      <w:pPr>
        <w:keepNext w:val="0"/>
        <w:keepLines w:val="0"/>
        <w:pageBreakBefore w:val="0"/>
        <w:widowControl w:val="0"/>
        <w:kinsoku/>
        <w:wordWrap/>
        <w:overflowPunct/>
        <w:topLinePunct w:val="0"/>
        <w:autoSpaceDE/>
        <w:autoSpaceDN/>
        <w:bidi w:val="0"/>
        <w:adjustRightInd/>
        <w:snapToGrid/>
        <w:spacing w:line="240" w:lineRule="auto"/>
        <w:ind w:firstLine="667"/>
        <w:jc w:val="left"/>
        <w:textAlignment w:val="auto"/>
        <w:rPr>
          <w:rFonts w:ascii="宋体" w:hAnsi="宋体" w:eastAsia="仿宋_GB2312" w:cs="Times New Roman"/>
          <w:sz w:val="32"/>
          <w:szCs w:val="32"/>
          <w:highlight w:val="none"/>
        </w:rPr>
      </w:pPr>
      <w:r>
        <w:rPr>
          <w:rFonts w:hint="eastAsia" w:ascii="宋体" w:hAnsi="宋体" w:eastAsia="仿宋_GB2312" w:cs="Times New Roman"/>
          <w:sz w:val="32"/>
          <w:szCs w:val="32"/>
          <w:highlight w:val="none"/>
        </w:rPr>
        <w:t>本单位内设</w:t>
      </w:r>
      <w:r>
        <w:rPr>
          <w:rFonts w:hint="eastAsia" w:ascii="宋体" w:hAnsi="宋体" w:eastAsia="仿宋_GB2312" w:cs="Times New Roman"/>
          <w:sz w:val="32"/>
          <w:szCs w:val="32"/>
          <w:highlight w:val="none"/>
          <w:lang w:val="en-US" w:eastAsia="zh-CN"/>
        </w:rPr>
        <w:t>2</w:t>
      </w:r>
      <w:r>
        <w:rPr>
          <w:rFonts w:hint="eastAsia" w:ascii="宋体" w:hAnsi="宋体" w:eastAsia="仿宋_GB2312" w:cs="Times New Roman"/>
          <w:sz w:val="32"/>
          <w:szCs w:val="32"/>
          <w:highlight w:val="none"/>
        </w:rPr>
        <w:t>个科室</w:t>
      </w:r>
      <w:r>
        <w:rPr>
          <w:rFonts w:hint="eastAsia" w:ascii="宋体" w:hAnsi="宋体" w:eastAsia="仿宋_GB2312" w:cs="Times New Roman"/>
          <w:sz w:val="32"/>
          <w:szCs w:val="32"/>
          <w:highlight w:val="none"/>
          <w:lang w:eastAsia="zh-CN"/>
        </w:rPr>
        <w:t>，</w:t>
      </w:r>
      <w:r>
        <w:rPr>
          <w:rFonts w:hint="eastAsia" w:ascii="宋体" w:hAnsi="宋体" w:eastAsia="仿宋_GB2312" w:cs="Times New Roman"/>
          <w:sz w:val="32"/>
          <w:szCs w:val="32"/>
          <w:highlight w:val="none"/>
          <w:lang w:val="en-US" w:eastAsia="zh-CN"/>
        </w:rPr>
        <w:t>秘书股和双拥优抚安置股</w:t>
      </w:r>
      <w:r>
        <w:rPr>
          <w:rFonts w:hint="eastAsia" w:ascii="宋体" w:hAnsi="宋体" w:eastAsia="仿宋_GB2312" w:cs="Times New Roman"/>
          <w:sz w:val="32"/>
          <w:szCs w:val="32"/>
          <w:highlight w:val="none"/>
        </w:rPr>
        <w:t>。从预算单位构成看，</w:t>
      </w:r>
      <w:r>
        <w:rPr>
          <w:rFonts w:hint="eastAsia" w:ascii="宋体" w:hAnsi="宋体" w:eastAsia="仿宋_GB2312" w:cs="Times New Roman"/>
          <w:sz w:val="32"/>
          <w:szCs w:val="32"/>
          <w:highlight w:val="none"/>
          <w:lang w:val="en-US" w:eastAsia="zh-CN"/>
        </w:rPr>
        <w:t>本</w:t>
      </w:r>
      <w:r>
        <w:rPr>
          <w:rFonts w:hint="eastAsia" w:ascii="宋体" w:hAnsi="宋体" w:eastAsia="仿宋_GB2312" w:cs="Times New Roman"/>
          <w:sz w:val="32"/>
          <w:szCs w:val="32"/>
          <w:highlight w:val="none"/>
        </w:rPr>
        <w:t>部门决算包括：本级决算。</w:t>
      </w:r>
    </w:p>
    <w:p>
      <w:pPr>
        <w:rPr>
          <w:rFonts w:ascii="仿宋" w:hAnsi="仿宋" w:eastAsia="仿宋" w:cs="仿宋"/>
          <w:sz w:val="32"/>
          <w:szCs w:val="32"/>
          <w:highlight w:val="none"/>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 度 收 入 总 计</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年相比,收入总计</w:t>
      </w:r>
      <w:r>
        <w:rPr>
          <w:rFonts w:hint="eastAsia" w:ascii="宋体" w:hAnsi="宋体" w:eastAsia="仿宋_GB2312" w:cs="Times New Roman"/>
          <w:sz w:val="32"/>
          <w:szCs w:val="32"/>
          <w:lang w:val="en-US" w:eastAsia="zh-CN"/>
        </w:rPr>
        <w:t>减少1795.38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减少1795.38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单位机构改革，成立了退役军人服务中心，财务独立核算。</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keepNext w:val="0"/>
        <w:keepLines w:val="0"/>
        <w:pageBreakBefore w:val="0"/>
        <w:widowControl w:val="0"/>
        <w:kinsoku/>
        <w:wordWrap/>
        <w:overflowPunct/>
        <w:topLinePunct w:val="0"/>
        <w:autoSpaceDE/>
        <w:autoSpaceDN/>
        <w:bidi w:val="0"/>
        <w:adjustRightInd/>
        <w:snapToGrid/>
        <w:spacing w:line="204" w:lineRule="auto"/>
        <w:ind w:firstLine="669"/>
        <w:jc w:val="both"/>
        <w:textAlignment w:val="auto"/>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万元;上级补助收</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；事业收入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；经营收入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；附属单位上缴收入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；其他收入</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万元 ，其中：基本支出</w:t>
      </w:r>
      <w:r>
        <w:rPr>
          <w:rFonts w:hint="eastAsia" w:ascii="宋体" w:hAnsi="宋体" w:eastAsia="仿宋_GB2312" w:cs="Times New Roman"/>
          <w:sz w:val="32"/>
          <w:szCs w:val="32"/>
          <w:lang w:val="en-US" w:eastAsia="zh-CN"/>
        </w:rPr>
        <w:t>32.09</w:t>
      </w:r>
      <w:r>
        <w:rPr>
          <w:rFonts w:hint="eastAsia" w:ascii="宋体" w:hAnsi="宋体" w:eastAsia="仿宋_GB2312" w:cs="Times New Roman"/>
          <w:sz w:val="32"/>
          <w:szCs w:val="32"/>
        </w:rPr>
        <w:t>万元 ；项目支出</w:t>
      </w:r>
      <w:r>
        <w:rPr>
          <w:rFonts w:hint="eastAsia" w:ascii="宋体" w:hAnsi="宋体" w:eastAsia="仿宋_GB2312" w:cs="Times New Roman"/>
          <w:sz w:val="32"/>
          <w:szCs w:val="32"/>
          <w:lang w:val="en-US" w:eastAsia="zh-CN"/>
        </w:rPr>
        <w:t>1312.87</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，经营支出</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；对附属单位补助支出</w:t>
      </w:r>
      <w:r>
        <w:rPr>
          <w:rFonts w:hint="eastAsia" w:ascii="宋体" w:hAnsi="宋体" w:eastAsia="仿宋_GB2312" w:cs="Times New Roman"/>
          <w:sz w:val="32"/>
          <w:szCs w:val="32"/>
          <w:lang w:val="en-US" w:eastAsia="zh-CN"/>
        </w:rPr>
        <w:t>0万元</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892_WPSOffice_Level2"/>
      <w:bookmarkStart w:id="13" w:name="_Toc23250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万元。与 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 xml:space="preserve"> 年相比，财政拨款收入总计</w:t>
      </w:r>
      <w:r>
        <w:rPr>
          <w:rFonts w:hint="eastAsia" w:ascii="宋体" w:hAnsi="宋体" w:eastAsia="仿宋_GB2312" w:cs="Times New Roman"/>
          <w:sz w:val="32"/>
          <w:szCs w:val="32"/>
          <w:lang w:val="en-US" w:eastAsia="zh-CN"/>
        </w:rPr>
        <w:t>减少1795.38</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减少57.83</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单位机构改革，成立了退役军人服务中心，财务独立核算。</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1344.95</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val="en-US" w:eastAsia="zh-CN"/>
        </w:rPr>
        <w:t>2020</w:t>
      </w:r>
      <w:r>
        <w:rPr>
          <w:rFonts w:hint="eastAsia" w:ascii="宋体" w:hAnsi="宋体" w:eastAsia="仿宋_GB2312" w:cs="Times New Roman"/>
          <w:sz w:val="32"/>
          <w:szCs w:val="32"/>
        </w:rPr>
        <w:t xml:space="preserve"> 年相比，财政拨款支出</w:t>
      </w:r>
      <w:r>
        <w:rPr>
          <w:rFonts w:hint="eastAsia" w:ascii="宋体" w:hAnsi="宋体" w:eastAsia="仿宋_GB2312" w:cs="Times New Roman"/>
          <w:sz w:val="32"/>
          <w:szCs w:val="32"/>
          <w:lang w:val="en-US" w:eastAsia="zh-CN"/>
        </w:rPr>
        <w:t>减少1795.38</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单位机构改革，成立了退役军人服务中心，财务独立核算。</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highlight w:val="none"/>
        </w:rPr>
      </w:pPr>
      <w:bookmarkStart w:id="14" w:name="_Toc27424_WPSOffice_Level2"/>
      <w:bookmarkStart w:id="15" w:name="_Toc1066_WPSOffice_Level2"/>
      <w:r>
        <w:rPr>
          <w:rFonts w:hint="eastAsia" w:ascii="宋体" w:hAnsi="宋体" w:eastAsia="仿宋_GB2312" w:cs="Times New Roman"/>
          <w:sz w:val="32"/>
          <w:szCs w:val="32"/>
          <w:highlight w:val="none"/>
        </w:rPr>
        <w:t>202</w:t>
      </w:r>
      <w:r>
        <w:rPr>
          <w:rFonts w:hint="eastAsia" w:ascii="宋体" w:hAnsi="宋体" w:eastAsia="仿宋_GB2312" w:cs="Times New Roman"/>
          <w:sz w:val="32"/>
          <w:szCs w:val="32"/>
          <w:highlight w:val="none"/>
          <w:lang w:val="en-US" w:eastAsia="zh-CN"/>
        </w:rPr>
        <w:t>1</w:t>
      </w:r>
      <w:r>
        <w:rPr>
          <w:rFonts w:hint="eastAsia" w:ascii="宋体" w:hAnsi="宋体" w:eastAsia="仿宋_GB2312" w:cs="Times New Roman"/>
          <w:sz w:val="32"/>
          <w:szCs w:val="32"/>
          <w:highlight w:val="none"/>
        </w:rPr>
        <w:t>年度财政拨款支出</w:t>
      </w:r>
      <w:r>
        <w:rPr>
          <w:rFonts w:hint="eastAsia" w:ascii="宋体" w:hAnsi="宋体" w:eastAsia="仿宋_GB2312" w:cs="Times New Roman"/>
          <w:sz w:val="32"/>
          <w:szCs w:val="32"/>
          <w:highlight w:val="none"/>
          <w:lang w:val="en-US" w:eastAsia="zh-CN"/>
        </w:rPr>
        <w:t>1344.95</w:t>
      </w:r>
      <w:r>
        <w:rPr>
          <w:rFonts w:hint="eastAsia" w:ascii="宋体" w:hAnsi="宋体" w:eastAsia="仿宋_GB2312" w:cs="Times New Roman"/>
          <w:sz w:val="32"/>
          <w:szCs w:val="32"/>
          <w:highlight w:val="none"/>
        </w:rPr>
        <w:t>万元，主要用于以下方面：</w:t>
      </w:r>
      <w:r>
        <w:rPr>
          <w:rFonts w:hint="eastAsia" w:ascii="宋体" w:hAnsi="宋体" w:eastAsia="仿宋_GB2312" w:cs="Times New Roman"/>
          <w:sz w:val="32"/>
          <w:szCs w:val="32"/>
          <w:highlight w:val="none"/>
          <w:lang w:val="en-US" w:eastAsia="zh-CN"/>
        </w:rPr>
        <w:t>2080804优抚事业单位支出14.07万元，占1.05%；2080899其他优抚支出681.82万元，占50.69%</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2080901退役士兵安置251.83万元，占18.72%；2080902军队移交政府的离退休人员安置225.83万元，占16.79%；2080903军队移交政府的离退休干部管理机构10万元，占0.74%</w:t>
      </w:r>
      <w:r>
        <w:rPr>
          <w:rFonts w:hint="eastAsia" w:ascii="宋体" w:hAnsi="宋体" w:eastAsia="仿宋_GB2312" w:cs="Times New Roman"/>
          <w:sz w:val="32"/>
          <w:szCs w:val="32"/>
          <w:highlight w:val="none"/>
        </w:rPr>
        <w:t>；</w:t>
      </w:r>
      <w:r>
        <w:rPr>
          <w:rFonts w:hint="eastAsia" w:ascii="宋体" w:hAnsi="宋体" w:eastAsia="仿宋_GB2312" w:cs="Times New Roman"/>
          <w:sz w:val="32"/>
          <w:szCs w:val="32"/>
          <w:highlight w:val="none"/>
          <w:lang w:val="en-US" w:eastAsia="zh-CN"/>
        </w:rPr>
        <w:t>2080201行政运行47.66万元，占3.54%；2082802一般行政管理事务69.95万元，占5.2%；2089999其他社会保障和就业支出38.68万元，占2.88%;2101401卫生健康支出4.62万元，占0.34%；2299999其它支出0.5万元，占比0.04%</w:t>
      </w:r>
      <w:r>
        <w:rPr>
          <w:rFonts w:hint="eastAsia" w:ascii="仿宋" w:hAnsi="仿宋" w:eastAsia="仿宋" w:cs="仿宋"/>
          <w:spacing w:val="4"/>
          <w:sz w:val="32"/>
          <w:szCs w:val="32"/>
          <w:highlight w:val="none"/>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default" w:ascii="宋体" w:hAnsi="宋体" w:eastAsia="宋体" w:cs="宋体"/>
          <w:spacing w:val="4"/>
          <w:sz w:val="32"/>
          <w:szCs w:val="32"/>
          <w:highlight w:val="none"/>
          <w:lang w:val="en-US" w:eastAsia="zh-CN"/>
        </w:rPr>
      </w:pPr>
      <w:r>
        <w:rPr>
          <w:rFonts w:hint="eastAsia" w:ascii="宋体" w:hAnsi="宋体" w:eastAsia="宋体" w:cs="宋体"/>
          <w:sz w:val="32"/>
          <w:szCs w:val="32"/>
          <w:highlight w:val="none"/>
        </w:rPr>
        <w:t>202</w:t>
      </w:r>
      <w:r>
        <w:rPr>
          <w:rFonts w:hint="eastAsia" w:ascii="宋体" w:hAnsi="宋体" w:eastAsia="宋体" w:cs="宋体"/>
          <w:sz w:val="32"/>
          <w:szCs w:val="32"/>
          <w:highlight w:val="none"/>
          <w:lang w:val="en-US" w:eastAsia="zh-CN"/>
        </w:rPr>
        <w:t>1</w:t>
      </w:r>
      <w:r>
        <w:rPr>
          <w:rFonts w:hint="eastAsia" w:ascii="宋体" w:hAnsi="宋体" w:eastAsia="宋体" w:cs="宋体"/>
          <w:sz w:val="32"/>
          <w:szCs w:val="32"/>
          <w:highlight w:val="none"/>
        </w:rPr>
        <w:t>年度一般公共预算财政拨款支出当年调整预算数</w:t>
      </w:r>
      <w:r>
        <w:rPr>
          <w:rFonts w:hint="eastAsia" w:ascii="宋体" w:hAnsi="宋体" w:eastAsia="宋体" w:cs="宋体"/>
          <w:sz w:val="32"/>
          <w:szCs w:val="32"/>
          <w:highlight w:val="none"/>
          <w:lang w:val="en-US" w:eastAsia="zh-CN"/>
        </w:rPr>
        <w:t>296.88</w:t>
      </w:r>
      <w:r>
        <w:rPr>
          <w:rFonts w:hint="eastAsia" w:ascii="宋体" w:hAnsi="宋体" w:eastAsia="宋体" w:cs="宋体"/>
          <w:sz w:val="32"/>
          <w:szCs w:val="32"/>
          <w:highlight w:val="none"/>
        </w:rPr>
        <w:t>万元，支出决算为</w:t>
      </w:r>
      <w:r>
        <w:rPr>
          <w:rFonts w:hint="eastAsia" w:ascii="宋体" w:hAnsi="宋体" w:eastAsia="宋体" w:cs="宋体"/>
          <w:sz w:val="32"/>
          <w:szCs w:val="32"/>
          <w:highlight w:val="none"/>
          <w:lang w:val="en-US" w:eastAsia="zh-CN"/>
        </w:rPr>
        <w:t>1344.95</w:t>
      </w:r>
      <w:r>
        <w:rPr>
          <w:rFonts w:hint="eastAsia" w:ascii="宋体" w:hAnsi="宋体" w:eastAsia="宋体" w:cs="宋体"/>
          <w:sz w:val="32"/>
          <w:szCs w:val="32"/>
          <w:highlight w:val="none"/>
        </w:rPr>
        <w:t>万元，完成当年调整预算的</w:t>
      </w:r>
      <w:r>
        <w:rPr>
          <w:rFonts w:hint="eastAsia" w:ascii="宋体" w:hAnsi="宋体" w:eastAsia="宋体" w:cs="宋体"/>
          <w:sz w:val="32"/>
          <w:szCs w:val="32"/>
          <w:highlight w:val="none"/>
          <w:lang w:val="en-US" w:eastAsia="zh-CN"/>
        </w:rPr>
        <w:t>100</w:t>
      </w:r>
      <w:r>
        <w:rPr>
          <w:rFonts w:hint="eastAsia" w:ascii="宋体" w:hAnsi="宋体" w:eastAsia="宋体" w:cs="宋体"/>
          <w:sz w:val="32"/>
          <w:szCs w:val="32"/>
          <w:highlight w:val="none"/>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hint="eastAsia" w:ascii="宋体" w:hAnsi="宋体" w:eastAsia="仿宋_GB2312" w:cs="Times New Roman"/>
          <w:sz w:val="32"/>
          <w:szCs w:val="32"/>
          <w:lang w:eastAsia="zh-CN"/>
        </w:rPr>
      </w:pPr>
      <w:bookmarkStart w:id="16" w:name="_Toc21993_WPSOffice_Level2"/>
      <w:bookmarkStart w:id="17" w:name="_Toc28951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32.09</w:t>
      </w:r>
      <w:r>
        <w:rPr>
          <w:rFonts w:hint="eastAsia" w:ascii="宋体" w:hAnsi="宋体" w:eastAsia="仿宋_GB2312" w:cs="Times New Roman"/>
          <w:sz w:val="32"/>
          <w:szCs w:val="32"/>
        </w:rPr>
        <w:t>万元，其中：人员经费</w:t>
      </w:r>
      <w:r>
        <w:rPr>
          <w:rFonts w:hint="eastAsia" w:ascii="宋体" w:hAnsi="宋体" w:eastAsia="仿宋_GB2312" w:cs="Times New Roman"/>
          <w:sz w:val="32"/>
          <w:szCs w:val="32"/>
          <w:lang w:val="en-US" w:eastAsia="zh-CN"/>
        </w:rPr>
        <w:t>29.5</w:t>
      </w:r>
      <w:bookmarkStart w:id="22" w:name="_GoBack"/>
      <w:bookmarkEnd w:id="22"/>
      <w:r>
        <w:rPr>
          <w:rFonts w:hint="eastAsia" w:ascii="宋体" w:hAnsi="宋体" w:eastAsia="仿宋_GB2312" w:cs="Times New Roman"/>
          <w:sz w:val="32"/>
          <w:szCs w:val="32"/>
        </w:rPr>
        <w:t>万元，主要包括工资福利支出</w:t>
      </w:r>
      <w:r>
        <w:rPr>
          <w:rFonts w:hint="eastAsia" w:ascii="宋体" w:hAnsi="宋体" w:eastAsia="仿宋_GB2312" w:cs="Times New Roman"/>
          <w:sz w:val="32"/>
          <w:szCs w:val="32"/>
          <w:lang w:val="en-US" w:eastAsia="zh-CN"/>
        </w:rPr>
        <w:t>29.5</w:t>
      </w:r>
      <w:r>
        <w:rPr>
          <w:rFonts w:hint="eastAsia" w:ascii="宋体" w:hAnsi="宋体" w:eastAsia="仿宋_GB2312" w:cs="Times New Roman"/>
          <w:sz w:val="32"/>
          <w:szCs w:val="32"/>
        </w:rPr>
        <w:t>万元；公用经费</w:t>
      </w:r>
      <w:r>
        <w:rPr>
          <w:rFonts w:hint="eastAsia" w:ascii="宋体" w:hAnsi="宋体" w:eastAsia="仿宋_GB2312" w:cs="Times New Roman"/>
          <w:sz w:val="32"/>
          <w:szCs w:val="32"/>
          <w:lang w:val="en-US" w:eastAsia="zh-CN"/>
        </w:rPr>
        <w:t>2.59</w:t>
      </w:r>
      <w:r>
        <w:rPr>
          <w:rFonts w:hint="eastAsia" w:ascii="宋体" w:hAnsi="宋体" w:eastAsia="仿宋_GB2312" w:cs="Times New Roman"/>
          <w:sz w:val="32"/>
          <w:szCs w:val="32"/>
        </w:rPr>
        <w:t>万元，</w:t>
      </w:r>
      <w:r>
        <w:rPr>
          <w:rFonts w:hint="eastAsia" w:ascii="宋体" w:hAnsi="宋体" w:eastAsia="仿宋_GB2312" w:cs="Times New Roman"/>
          <w:sz w:val="32"/>
          <w:szCs w:val="32"/>
          <w:lang w:val="en-US" w:eastAsia="zh-CN"/>
        </w:rPr>
        <w:t>主要包括</w:t>
      </w:r>
      <w:r>
        <w:rPr>
          <w:rFonts w:hint="eastAsia" w:ascii="宋体" w:hAnsi="宋体" w:eastAsia="仿宋_GB2312" w:cs="Times New Roman"/>
          <w:sz w:val="32"/>
          <w:szCs w:val="32"/>
        </w:rPr>
        <w:t>商品和服务支出</w:t>
      </w:r>
      <w:r>
        <w:rPr>
          <w:rFonts w:hint="eastAsia" w:ascii="宋体" w:hAnsi="宋体" w:eastAsia="仿宋_GB2312" w:cs="Times New Roman"/>
          <w:sz w:val="32"/>
          <w:szCs w:val="32"/>
          <w:lang w:val="en-US" w:eastAsia="zh-CN"/>
        </w:rPr>
        <w:t>2.59</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w:t>
      </w:r>
    </w:p>
    <w:bookmarkEnd w:id="16"/>
    <w:bookmarkEnd w:id="17"/>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年“三公”经费一般公共财政拨款支出决算</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val="en-US" w:eastAsia="zh-CN"/>
        </w:rPr>
        <w:t>政府性基金预算收入和支出为0万元</w:t>
      </w:r>
      <w:r>
        <w:rPr>
          <w:rFonts w:hint="eastAsia" w:ascii="宋体" w:hAnsi="宋体" w:eastAsia="仿宋_GB2312" w:cs="Times New Roman"/>
          <w:sz w:val="32"/>
          <w:szCs w:val="32"/>
        </w:rPr>
        <w:t>。</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67"/>
        <w:jc w:val="left"/>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2.59</w:t>
      </w:r>
      <w:r>
        <w:rPr>
          <w:rFonts w:hint="eastAsia" w:ascii="宋体" w:hAnsi="宋体" w:eastAsia="仿宋_GB2312" w:cs="Times New Roman"/>
          <w:sz w:val="32"/>
          <w:szCs w:val="32"/>
        </w:rPr>
        <w:t>万元，比20</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年减少</w:t>
      </w:r>
      <w:r>
        <w:rPr>
          <w:rFonts w:hint="eastAsia" w:ascii="宋体" w:hAnsi="宋体" w:eastAsia="仿宋_GB2312" w:cs="Times New Roman"/>
          <w:sz w:val="32"/>
          <w:szCs w:val="32"/>
          <w:lang w:val="en-US" w:eastAsia="zh-CN"/>
        </w:rPr>
        <w:t>23.85</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90.2</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单位机构改革，成立了退役军人服务中心，财务独立核算。</w:t>
      </w:r>
    </w:p>
    <w:p>
      <w:pPr>
        <w:ind w:firstLine="640" w:firstLineChars="200"/>
        <w:rPr>
          <w:rFonts w:ascii="宋体" w:hAnsi="宋体" w:eastAsia="仿宋_GB2312" w:cs="Times New Roman"/>
          <w:sz w:val="32"/>
          <w:szCs w:val="32"/>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5.99</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5.99</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numPr>
          <w:ilvl w:val="0"/>
          <w:numId w:val="5"/>
        </w:numP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rPr>
        <w:t>项目绩效评价工作开展情况</w:t>
      </w:r>
      <w:r>
        <w:rPr>
          <w:rFonts w:hint="eastAsia" w:ascii="宋体" w:hAnsi="宋体" w:eastAsia="仿宋_GB2312" w:cs="Times New Roman"/>
          <w:sz w:val="32"/>
          <w:szCs w:val="32"/>
          <w:lang w:val="en-US" w:eastAsia="zh-CN"/>
        </w:rPr>
        <w:t>:</w:t>
      </w:r>
    </w:p>
    <w:p>
      <w:pPr>
        <w:pStyle w:val="2"/>
        <w:rPr>
          <w:rFonts w:hint="default"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加强和完善全区退役军人服务保障体系，建立健全集中统一，职责清晰的退役军人管理保障体系。资金使用符合政策要求，合理合法，使用有效，管理规范，达到了绩效目标。</w:t>
      </w:r>
    </w:p>
    <w:p>
      <w:pPr>
        <w:numPr>
          <w:ilvl w:val="0"/>
          <w:numId w:val="0"/>
        </w:numPr>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 xml:space="preserve">  </w:t>
      </w:r>
      <w:r>
        <w:rPr>
          <w:rFonts w:hint="eastAsia" w:ascii="宋体" w:hAnsi="宋体" w:eastAsia="仿宋_GB2312" w:cs="Times New Roman"/>
          <w:sz w:val="32"/>
          <w:szCs w:val="32"/>
        </w:rPr>
        <w:t>202</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6</w:t>
      </w:r>
      <w:r>
        <w:rPr>
          <w:rFonts w:hint="eastAsia" w:ascii="宋体" w:hAnsi="宋体" w:eastAsia="仿宋_GB2312" w:cs="Times New Roman"/>
          <w:sz w:val="32"/>
          <w:szCs w:val="32"/>
        </w:rPr>
        <w:t>个，涉及一般公共预算当年拨款</w:t>
      </w:r>
      <w:r>
        <w:rPr>
          <w:rFonts w:hint="eastAsia" w:ascii="宋体" w:hAnsi="宋体" w:eastAsia="仿宋_GB2312" w:cs="Times New Roman"/>
          <w:sz w:val="32"/>
          <w:szCs w:val="32"/>
          <w:lang w:val="en-US" w:eastAsia="zh-CN"/>
        </w:rPr>
        <w:t>1312.87</w:t>
      </w:r>
      <w:r>
        <w:rPr>
          <w:rFonts w:hint="eastAsia" w:ascii="宋体" w:hAnsi="宋体" w:eastAsia="仿宋_GB2312" w:cs="Times New Roman"/>
          <w:sz w:val="32"/>
          <w:szCs w:val="32"/>
        </w:rPr>
        <w:t>万元。</w:t>
      </w:r>
    </w:p>
    <w:p>
      <w:pPr>
        <w:rPr>
          <w:rFonts w:hint="eastAsia" w:ascii="宋体" w:hAnsi="宋体" w:eastAsia="仿宋_GB2312" w:cs="Times New Roman"/>
          <w:sz w:val="32"/>
          <w:szCs w:val="32"/>
          <w:lang w:eastAsia="zh-CN"/>
        </w:rPr>
      </w:pPr>
      <w:r>
        <w:rPr>
          <w:rFonts w:hint="eastAsia" w:ascii="宋体" w:hAnsi="宋体" w:eastAsia="仿宋_GB2312" w:cs="Times New Roman"/>
          <w:sz w:val="32"/>
          <w:szCs w:val="32"/>
        </w:rPr>
        <w:t>(2)绩效评价工作取得的成效</w:t>
      </w:r>
      <w:r>
        <w:rPr>
          <w:rFonts w:hint="eastAsia" w:ascii="宋体" w:hAnsi="宋体" w:eastAsia="仿宋_GB2312" w:cs="Times New Roman"/>
          <w:sz w:val="32"/>
          <w:szCs w:val="32"/>
          <w:lang w:eastAsia="zh-CN"/>
        </w:rPr>
        <w:t>：</w:t>
      </w:r>
    </w:p>
    <w:p>
      <w:pP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val="en-US" w:eastAsia="zh-CN"/>
        </w:rPr>
        <w:t xml:space="preserve">    全年项目支出保障了退役军人管理工作的实施，积极履职，强化管理，较好的完成了年度工作目标，促进了退役军人各项事务工作顺利展开，达到了预期绩效目标，2021年绩效目标全面完成。</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3EE15A"/>
    <w:multiLevelType w:val="singleLevel"/>
    <w:tmpl w:val="F33EE15A"/>
    <w:lvl w:ilvl="0" w:tentative="0">
      <w:start w:val="1"/>
      <w:numFmt w:val="decimal"/>
      <w:lvlText w:val="(%1)"/>
      <w:lvlJc w:val="left"/>
      <w:pPr>
        <w:tabs>
          <w:tab w:val="left" w:pos="312"/>
        </w:tabs>
      </w:pPr>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YjViYjY2OWUyMjdkNjhiZGMxYjRiODE5YmNlYzUifQ=="/>
  </w:docVars>
  <w:rsids>
    <w:rsidRoot w:val="7E3F0B7D"/>
    <w:rsid w:val="000014A7"/>
    <w:rsid w:val="00052B5B"/>
    <w:rsid w:val="00774AFB"/>
    <w:rsid w:val="00E4217F"/>
    <w:rsid w:val="0C061BF5"/>
    <w:rsid w:val="0CC54F04"/>
    <w:rsid w:val="0DD732FB"/>
    <w:rsid w:val="0E546AEB"/>
    <w:rsid w:val="1089433E"/>
    <w:rsid w:val="133557F9"/>
    <w:rsid w:val="169E4260"/>
    <w:rsid w:val="18E377DC"/>
    <w:rsid w:val="1A273944"/>
    <w:rsid w:val="1B141D0E"/>
    <w:rsid w:val="22D47AB4"/>
    <w:rsid w:val="23B76C52"/>
    <w:rsid w:val="253147FF"/>
    <w:rsid w:val="28434688"/>
    <w:rsid w:val="28FC59BC"/>
    <w:rsid w:val="29AA1045"/>
    <w:rsid w:val="2B87473E"/>
    <w:rsid w:val="2BEB2A5C"/>
    <w:rsid w:val="2DA95CC3"/>
    <w:rsid w:val="2E804E26"/>
    <w:rsid w:val="315570A1"/>
    <w:rsid w:val="32775E02"/>
    <w:rsid w:val="38B4727B"/>
    <w:rsid w:val="39396500"/>
    <w:rsid w:val="3A6F3A8C"/>
    <w:rsid w:val="3D617208"/>
    <w:rsid w:val="3E0D4D87"/>
    <w:rsid w:val="3F28132A"/>
    <w:rsid w:val="42EF7E73"/>
    <w:rsid w:val="47183FF3"/>
    <w:rsid w:val="491F1BF6"/>
    <w:rsid w:val="4993587D"/>
    <w:rsid w:val="4C4E32D8"/>
    <w:rsid w:val="4DA80F5E"/>
    <w:rsid w:val="4FD769C2"/>
    <w:rsid w:val="529B27A1"/>
    <w:rsid w:val="540E3A19"/>
    <w:rsid w:val="5574240A"/>
    <w:rsid w:val="567D3D8D"/>
    <w:rsid w:val="56C30D8F"/>
    <w:rsid w:val="56DE1DD9"/>
    <w:rsid w:val="571B36E6"/>
    <w:rsid w:val="58607805"/>
    <w:rsid w:val="586D79FB"/>
    <w:rsid w:val="5A002502"/>
    <w:rsid w:val="5BE320EB"/>
    <w:rsid w:val="5D922193"/>
    <w:rsid w:val="62380667"/>
    <w:rsid w:val="63F4339E"/>
    <w:rsid w:val="65B978C3"/>
    <w:rsid w:val="67042FD7"/>
    <w:rsid w:val="693037F3"/>
    <w:rsid w:val="6B751DE5"/>
    <w:rsid w:val="6DD000D6"/>
    <w:rsid w:val="6DE57A3B"/>
    <w:rsid w:val="6FAE3BF0"/>
    <w:rsid w:val="756F41A3"/>
    <w:rsid w:val="79894D52"/>
    <w:rsid w:val="79C060E8"/>
    <w:rsid w:val="7ABC2565"/>
    <w:rsid w:val="7BC445BB"/>
    <w:rsid w:val="7D5F03C7"/>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2745</Words>
  <Characters>3032</Characters>
  <Lines>5</Lines>
  <Paragraphs>7</Paragraphs>
  <TotalTime>30</TotalTime>
  <ScaleCrop>false</ScaleCrop>
  <LinksUpToDate>false</LinksUpToDate>
  <CharactersWithSpaces>3089</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2022-10-19T02:15:34Z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C2A767AF0D1C4E2381FADD4A7FEBBB95</vt:lpwstr>
  </property>
</Properties>
</file>