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48"/>
          <w:szCs w:val="48"/>
        </w:rPr>
      </w:pPr>
    </w:p>
    <w:p>
      <w:pPr>
        <w:ind w:left="2640" w:hanging="2640" w:hangingChars="600"/>
        <w:jc w:val="center"/>
        <w:rPr>
          <w:rFonts w:hint="eastAsia" w:ascii="黑体" w:eastAsia="黑体"/>
          <w:sz w:val="44"/>
          <w:szCs w:val="44"/>
          <w:lang w:val="en-US" w:eastAsia="zh-CN"/>
        </w:rPr>
      </w:pPr>
      <w:r>
        <w:rPr>
          <w:rFonts w:hint="eastAsia" w:ascii="黑体" w:eastAsia="黑体"/>
          <w:sz w:val="44"/>
          <w:szCs w:val="44"/>
          <w:lang w:val="en-US" w:eastAsia="zh-CN"/>
        </w:rPr>
        <w:t>朔州市朔城区塞北革命烈士陵园</w:t>
      </w:r>
    </w:p>
    <w:p>
      <w:pPr>
        <w:ind w:left="2640" w:hanging="2640" w:hangingChars="600"/>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301" w:firstLineChars="1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630" w:lineRule="exact"/>
        <w:ind w:firstLine="640" w:firstLineChars="200"/>
        <w:rPr>
          <w:rFonts w:hint="eastAsia" w:ascii="仿宋_GB2312" w:hAnsi="Times New Roman" w:eastAsia="仿宋_GB2312" w:cs="仿宋_GB2312"/>
          <w:color w:val="000000"/>
          <w:sz w:val="32"/>
          <w:szCs w:val="32"/>
        </w:rPr>
      </w:pPr>
      <w:r>
        <w:rPr>
          <w:rFonts w:hint="eastAsia" w:ascii="仿宋" w:hAnsi="仿宋" w:eastAsia="仿宋" w:cs="仿宋"/>
          <w:sz w:val="32"/>
          <w:szCs w:val="32"/>
        </w:rPr>
        <w:t>1、</w:t>
      </w:r>
      <w:r>
        <w:rPr>
          <w:rFonts w:hint="eastAsia" w:ascii="仿宋_GB2312" w:hAnsi="Times New Roman" w:eastAsia="仿宋_GB2312" w:cs="仿宋_GB2312"/>
          <w:color w:val="000000"/>
          <w:sz w:val="32"/>
          <w:szCs w:val="32"/>
        </w:rPr>
        <w:t>征集、整理、展示与本地革命斗争有关的文物、烈士斗争史料和遗物；</w:t>
      </w:r>
    </w:p>
    <w:p>
      <w:pPr>
        <w:spacing w:line="630" w:lineRule="exact"/>
        <w:ind w:firstLine="640" w:firstLineChars="20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2、褒扬革命烈士，维护烈士纪念建筑物；</w:t>
      </w:r>
    </w:p>
    <w:p>
      <w:pPr>
        <w:spacing w:line="630" w:lineRule="exact"/>
        <w:ind w:firstLine="640" w:firstLineChars="20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3、保管革命烈士骨灰盒，建立完善的烈士档案和骨灰寄存人员档案；</w:t>
      </w:r>
    </w:p>
    <w:p>
      <w:pPr>
        <w:spacing w:line="630" w:lineRule="exact"/>
        <w:ind w:firstLine="640" w:firstLineChars="20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4、为社会各界祭扫活动提供服务，充分发挥爱国主义及青少年教育基地的作用；</w:t>
      </w:r>
    </w:p>
    <w:p>
      <w:pPr>
        <w:spacing w:line="630" w:lineRule="exact"/>
        <w:ind w:firstLine="640" w:firstLineChars="200"/>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5、完成主管部门交办的其它工作。</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本单位内设5个科室。从预算单位构成看，朔州市朔城区塞北革命烈士陵园部门决算包括：本级决算。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 xml:space="preserve"> 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 w:cs="Times New Roman"/>
          <w:sz w:val="32"/>
          <w:szCs w:val="32"/>
          <w:lang w:val="en-US" w:eastAsia="zh-CN"/>
        </w:rPr>
      </w:pPr>
      <w:bookmarkStart w:id="7" w:name="_Toc14383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211.42</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211.42</w:t>
      </w:r>
      <w:r>
        <w:rPr>
          <w:rFonts w:hint="eastAsia" w:ascii="宋体" w:hAnsi="宋体" w:eastAsia="仿宋_GB2312" w:cs="Times New Roman"/>
          <w:sz w:val="32"/>
          <w:szCs w:val="32"/>
        </w:rPr>
        <w:t>万元。与 20</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年相比,收入总计</w:t>
      </w:r>
      <w:r>
        <w:rPr>
          <w:rFonts w:hint="eastAsia" w:ascii="宋体" w:hAnsi="宋体" w:eastAsia="仿宋_GB2312" w:cs="Times New Roman"/>
          <w:sz w:val="32"/>
          <w:szCs w:val="32"/>
          <w:lang w:val="en-US" w:eastAsia="zh-CN"/>
        </w:rPr>
        <w:t>增加76.85</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增加76.85</w:t>
      </w:r>
      <w:r>
        <w:rPr>
          <w:rFonts w:hint="eastAsia" w:ascii="宋体" w:hAnsi="宋体" w:eastAsia="仿宋_GB2312" w:cs="Times New Roman"/>
          <w:sz w:val="32"/>
          <w:szCs w:val="32"/>
        </w:rPr>
        <w:t>万元。主要原因是：</w:t>
      </w:r>
      <w:r>
        <w:rPr>
          <w:rFonts w:hint="eastAsia" w:ascii="仿宋" w:hAnsi="仿宋" w:eastAsia="仿宋" w:cs="仿宋"/>
          <w:spacing w:val="4"/>
          <w:sz w:val="32"/>
          <w:szCs w:val="32"/>
        </w:rPr>
        <w:t>本单位</w:t>
      </w:r>
      <w:r>
        <w:rPr>
          <w:rFonts w:hint="eastAsia" w:ascii="仿宋" w:hAnsi="仿宋" w:eastAsia="仿宋" w:cs="仿宋"/>
          <w:spacing w:val="4"/>
          <w:sz w:val="32"/>
          <w:szCs w:val="32"/>
          <w:lang w:val="en-US" w:eastAsia="zh-CN"/>
        </w:rPr>
        <w:t>2021</w:t>
      </w:r>
      <w:r>
        <w:rPr>
          <w:rFonts w:hint="eastAsia" w:ascii="仿宋" w:hAnsi="仿宋" w:eastAsia="仿宋" w:cs="仿宋"/>
          <w:spacing w:val="4"/>
          <w:sz w:val="32"/>
          <w:szCs w:val="32"/>
        </w:rPr>
        <w:t>年</w:t>
      </w:r>
      <w:r>
        <w:rPr>
          <w:rFonts w:hint="eastAsia" w:ascii="仿宋" w:hAnsi="仿宋" w:eastAsia="仿宋" w:cs="仿宋"/>
          <w:spacing w:val="4"/>
          <w:sz w:val="32"/>
          <w:szCs w:val="32"/>
          <w:lang w:val="en-US" w:eastAsia="zh-CN"/>
        </w:rPr>
        <w:t>度增加“洪涛山抗日纪念厅”改陈布展工程</w:t>
      </w:r>
      <w:r>
        <w:rPr>
          <w:rFonts w:hint="eastAsia" w:ascii="仿宋" w:hAnsi="仿宋" w:eastAsia="仿宋" w:cs="仿宋"/>
          <w:spacing w:val="4"/>
          <w:sz w:val="32"/>
          <w:szCs w:val="32"/>
          <w:lang w:eastAsia="zh-CN"/>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hint="eastAsia" w:ascii="仿宋" w:hAnsi="仿宋" w:eastAsia="仿宋" w:cs="仿宋"/>
          <w:spacing w:val="-4"/>
          <w:sz w:val="32"/>
          <w:szCs w:val="32"/>
          <w:lang w:eastAsia="zh-CN"/>
        </w:rPr>
      </w:pPr>
      <w:bookmarkStart w:id="8" w:name="_Toc504_WPSOffice_Level2"/>
      <w:bookmarkStart w:id="9" w:name="_Toc6621_WPSOffice_Level2"/>
      <w:r>
        <w:rPr>
          <w:rFonts w:ascii="仿宋" w:hAnsi="仿宋" w:eastAsia="仿宋" w:cs="仿宋"/>
          <w:spacing w:val="4"/>
          <w:sz w:val="32"/>
          <w:szCs w:val="32"/>
        </w:rPr>
        <w:t>本年收入合计</w:t>
      </w:r>
      <w:r>
        <w:rPr>
          <w:rFonts w:hint="eastAsia" w:ascii="仿宋" w:hAnsi="仿宋" w:eastAsia="仿宋" w:cs="仿宋"/>
          <w:spacing w:val="4"/>
          <w:sz w:val="32"/>
          <w:szCs w:val="32"/>
          <w:lang w:val="en-US" w:eastAsia="zh-CN"/>
        </w:rPr>
        <w:t>199.65</w:t>
      </w:r>
      <w:r>
        <w:rPr>
          <w:rFonts w:ascii="仿宋" w:hAnsi="仿宋" w:eastAsia="仿宋" w:cs="仿宋"/>
          <w:spacing w:val="4"/>
          <w:sz w:val="32"/>
          <w:szCs w:val="32"/>
        </w:rPr>
        <w:t>万元，其中：财政拨款收入</w:t>
      </w:r>
      <w:r>
        <w:rPr>
          <w:rFonts w:hint="eastAsia" w:ascii="仿宋" w:hAnsi="仿宋" w:eastAsia="仿宋" w:cs="仿宋"/>
          <w:spacing w:val="4"/>
          <w:sz w:val="32"/>
          <w:szCs w:val="32"/>
          <w:lang w:val="en-US" w:eastAsia="zh-CN"/>
        </w:rPr>
        <w:t>199.65</w:t>
      </w:r>
      <w:r>
        <w:rPr>
          <w:rFonts w:ascii="仿宋" w:hAnsi="仿宋" w:eastAsia="仿宋" w:cs="仿宋"/>
          <w:spacing w:val="4"/>
          <w:sz w:val="32"/>
          <w:szCs w:val="32"/>
        </w:rPr>
        <w:t>万元</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上级补助收入0万元，事业收入0万元，经营收入0万元，附属单位上缴收入0万元，其他收入0万元</w:t>
      </w:r>
      <w:r>
        <w:rPr>
          <w:rFonts w:hint="eastAsia" w:ascii="仿宋" w:hAnsi="仿宋" w:eastAsia="仿宋" w:cs="仿宋"/>
          <w:spacing w:val="4"/>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hint="eastAsia" w:ascii="仿宋" w:hAnsi="仿宋" w:eastAsia="仿宋_GB2312" w:cs="仿宋"/>
          <w:sz w:val="32"/>
          <w:szCs w:val="32"/>
          <w:lang w:eastAsia="zh-CN"/>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211.42</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54.91</w:t>
      </w:r>
      <w:r>
        <w:rPr>
          <w:rFonts w:hint="eastAsia" w:ascii="宋体" w:hAnsi="宋体" w:eastAsia="仿宋_GB2312" w:cs="Times New Roman"/>
          <w:sz w:val="32"/>
          <w:szCs w:val="32"/>
        </w:rPr>
        <w:t xml:space="preserve">万元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项目支出</w:t>
      </w:r>
      <w:r>
        <w:rPr>
          <w:rFonts w:hint="eastAsia" w:ascii="仿宋" w:hAnsi="仿宋" w:eastAsia="仿宋" w:cs="仿宋"/>
          <w:sz w:val="32"/>
          <w:szCs w:val="32"/>
          <w:lang w:val="en-US" w:eastAsia="zh-CN"/>
        </w:rPr>
        <w:t>156.51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上缴上级支出0万元，经营支出0万元，对附属单位补助支出0万元</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keepNext w:val="0"/>
        <w:keepLines w:val="0"/>
        <w:pageBreakBefore w:val="0"/>
        <w:widowControl w:val="0"/>
        <w:kinsoku/>
        <w:wordWrap/>
        <w:overflowPunct/>
        <w:topLinePunct w:val="0"/>
        <w:autoSpaceDE/>
        <w:autoSpaceDN/>
        <w:bidi w:val="0"/>
        <w:adjustRightInd/>
        <w:snapToGrid/>
        <w:spacing w:line="204" w:lineRule="auto"/>
        <w:ind w:firstLine="669"/>
        <w:jc w:val="both"/>
        <w:textAlignment w:val="auto"/>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211.42</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211.42</w:t>
      </w:r>
      <w:r>
        <w:rPr>
          <w:rFonts w:hint="eastAsia" w:ascii="宋体" w:hAnsi="宋体" w:eastAsia="仿宋_GB2312" w:cs="Times New Roman"/>
          <w:sz w:val="32"/>
          <w:szCs w:val="32"/>
        </w:rPr>
        <w:t>万元。与 20</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年相比，财政拨款收入总计</w:t>
      </w:r>
      <w:r>
        <w:rPr>
          <w:rFonts w:hint="eastAsia" w:ascii="宋体" w:hAnsi="宋体" w:eastAsia="仿宋_GB2312" w:cs="Times New Roman"/>
          <w:sz w:val="32"/>
          <w:szCs w:val="32"/>
          <w:lang w:val="en-US" w:eastAsia="zh-CN"/>
        </w:rPr>
        <w:t>增加76.85</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增长36.35</w:t>
      </w:r>
      <w:r>
        <w:rPr>
          <w:rFonts w:hint="eastAsia" w:ascii="宋体" w:hAnsi="宋体" w:eastAsia="仿宋_GB2312" w:cs="Times New Roman"/>
          <w:sz w:val="32"/>
          <w:szCs w:val="32"/>
        </w:rPr>
        <w:t>%。主要原因是：</w:t>
      </w:r>
      <w:r>
        <w:rPr>
          <w:rFonts w:hint="eastAsia" w:ascii="仿宋" w:hAnsi="仿宋" w:eastAsia="仿宋" w:cs="仿宋"/>
          <w:spacing w:val="4"/>
          <w:sz w:val="32"/>
          <w:szCs w:val="32"/>
        </w:rPr>
        <w:t>本单位</w:t>
      </w:r>
      <w:r>
        <w:rPr>
          <w:rFonts w:hint="eastAsia" w:ascii="仿宋" w:hAnsi="仿宋" w:eastAsia="仿宋" w:cs="仿宋"/>
          <w:spacing w:val="4"/>
          <w:sz w:val="32"/>
          <w:szCs w:val="32"/>
          <w:lang w:val="en-US" w:eastAsia="zh-CN"/>
        </w:rPr>
        <w:t>2021</w:t>
      </w:r>
      <w:r>
        <w:rPr>
          <w:rFonts w:hint="eastAsia" w:ascii="仿宋" w:hAnsi="仿宋" w:eastAsia="仿宋" w:cs="仿宋"/>
          <w:spacing w:val="4"/>
          <w:sz w:val="32"/>
          <w:szCs w:val="32"/>
        </w:rPr>
        <w:t>年度</w:t>
      </w:r>
      <w:r>
        <w:rPr>
          <w:rFonts w:hint="eastAsia" w:ascii="仿宋" w:hAnsi="仿宋" w:eastAsia="仿宋" w:cs="仿宋"/>
          <w:spacing w:val="4"/>
          <w:sz w:val="32"/>
          <w:szCs w:val="32"/>
          <w:lang w:val="en-US" w:eastAsia="zh-CN"/>
        </w:rPr>
        <w:t>对展厅进行了改陈布展</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项目支出增加76.85</w:t>
      </w:r>
      <w:r>
        <w:rPr>
          <w:rFonts w:hint="eastAsia" w:ascii="仿宋" w:hAnsi="仿宋" w:eastAsia="仿宋" w:cs="仿宋"/>
          <w:spacing w:val="4"/>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211.42</w:t>
      </w:r>
      <w:r>
        <w:rPr>
          <w:rFonts w:hint="eastAsia" w:ascii="宋体" w:hAnsi="宋体" w:eastAsia="仿宋_GB2312" w:cs="Times New Roman"/>
          <w:sz w:val="32"/>
          <w:szCs w:val="32"/>
        </w:rPr>
        <w:t>万元，与 20</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 xml:space="preserve"> 年相比，财政拨款支出</w:t>
      </w:r>
      <w:r>
        <w:rPr>
          <w:rFonts w:hint="eastAsia" w:ascii="宋体" w:hAnsi="宋体" w:eastAsia="仿宋_GB2312" w:cs="Times New Roman"/>
          <w:sz w:val="32"/>
          <w:szCs w:val="32"/>
          <w:lang w:val="en-US" w:eastAsia="zh-CN"/>
        </w:rPr>
        <w:t>增加88.62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2021年度增加了展厅的改陈布展。</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ind w:firstLine="640" w:firstLineChars="200"/>
        <w:rPr>
          <w:rFonts w:hint="eastAsia" w:ascii="仿宋" w:hAnsi="仿宋" w:eastAsia="仿宋_GB2312" w:cs="仿宋"/>
          <w:sz w:val="32"/>
          <w:szCs w:val="32"/>
          <w:lang w:eastAsia="zh-CN"/>
        </w:rPr>
      </w:pPr>
      <w:bookmarkStart w:id="14" w:name="_Toc27424_WPSOffice_Level2"/>
      <w:bookmarkStart w:id="15" w:name="_Toc1066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211.42</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抚恤</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44.82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21.20</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退役军人管理事务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166.6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78.8</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p>
    <w:p>
      <w:pPr>
        <w:numPr>
          <w:ilvl w:val="0"/>
          <w:numId w:val="3"/>
        </w:numPr>
        <w:rPr>
          <w:rFonts w:hint="eastAsia" w:ascii="宋体" w:hAnsi="宋体" w:eastAsia="仿宋_GB2312" w:cs="Times New Roman"/>
          <w:sz w:val="32"/>
          <w:szCs w:val="32"/>
          <w:lang w:eastAsia="zh-CN"/>
        </w:rPr>
      </w:pPr>
      <w:r>
        <w:rPr>
          <w:rFonts w:hint="eastAsia" w:ascii="宋体" w:hAnsi="宋体" w:eastAsia="仿宋_GB2312" w:cs="Times New Roman"/>
          <w:sz w:val="32"/>
          <w:szCs w:val="32"/>
        </w:rPr>
        <w:t>一般公共预算财政拨款支出决算</w:t>
      </w:r>
      <w:r>
        <w:rPr>
          <w:rFonts w:hint="eastAsia" w:ascii="宋体" w:hAnsi="宋体" w:eastAsia="仿宋_GB2312" w:cs="Times New Roman"/>
          <w:sz w:val="32"/>
          <w:szCs w:val="32"/>
          <w:lang w:val="en-US" w:eastAsia="zh-CN"/>
        </w:rPr>
        <w:t>具体情况</w:t>
      </w:r>
      <w:r>
        <w:rPr>
          <w:rFonts w:hint="eastAsia" w:ascii="宋体" w:hAnsi="宋体" w:eastAsia="仿宋_GB2312" w:cs="Times New Roman"/>
          <w:sz w:val="32"/>
          <w:szCs w:val="32"/>
          <w:lang w:eastAsia="zh-CN"/>
        </w:rPr>
        <w:t>。</w:t>
      </w:r>
    </w:p>
    <w:p>
      <w:pPr>
        <w:ind w:firstLine="640" w:firstLineChars="200"/>
        <w:rPr>
          <w:rFonts w:hint="default" w:eastAsia="仿宋_GB2312"/>
          <w:lang w:val="en-US" w:eastAsia="zh-CN"/>
        </w:rPr>
      </w:pP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211.42</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211.42</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hint="eastAsia" w:ascii="宋体" w:hAnsi="宋体" w:eastAsia="仿宋_GB2312" w:cs="Times New Roman"/>
          <w:sz w:val="32"/>
          <w:szCs w:val="32"/>
          <w:lang w:eastAsia="zh-CN"/>
        </w:rPr>
      </w:pPr>
      <w:bookmarkStart w:id="16" w:name="_Toc21993_WPSOffice_Level2"/>
      <w:bookmarkStart w:id="17" w:name="_Toc28951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54.91</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53.41</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49.99</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3.42</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1.5</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1.5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p>
    <w:bookmarkEnd w:id="16"/>
    <w:bookmarkEnd w:id="17"/>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val="en-US" w:eastAsia="zh-CN"/>
        </w:rPr>
        <w:t>单位本年度无三公经费</w:t>
      </w:r>
      <w:r>
        <w:rPr>
          <w:rFonts w:hint="eastAsia" w:ascii="宋体" w:hAnsi="宋体" w:eastAsia="仿宋_GB2312" w:cs="Times New Roman"/>
          <w:sz w:val="32"/>
          <w:szCs w:val="32"/>
        </w:rPr>
        <w:t>。</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机关运行经费支出。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numPr>
          <w:ilvl w:val="0"/>
          <w:numId w:val="6"/>
        </w:numPr>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rPr>
        <w:t>项目绩效评价工作开展情况</w:t>
      </w:r>
      <w:r>
        <w:rPr>
          <w:rFonts w:hint="eastAsia" w:ascii="宋体" w:hAnsi="宋体" w:eastAsia="仿宋_GB2312" w:cs="Times New Roman"/>
          <w:sz w:val="32"/>
          <w:szCs w:val="32"/>
          <w:lang w:val="en-US" w:eastAsia="zh-CN"/>
        </w:rPr>
        <w:t>:</w:t>
      </w:r>
    </w:p>
    <w:p>
      <w:pPr>
        <w:numPr>
          <w:ilvl w:val="0"/>
          <w:numId w:val="0"/>
        </w:num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较好的维护了烈士纪念建筑物环境，满足了群众日常瞻仰和活动的需要，发挥了革命传统教育和活动的需要，发挥了革命传统教育基地作用。资金使用符合政策要求，合理合法，使用有效，管理规范，达到了绩效目标。</w:t>
      </w:r>
    </w:p>
    <w:p>
      <w:pPr>
        <w:numPr>
          <w:ilvl w:val="0"/>
          <w:numId w:val="0"/>
        </w:num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包括202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156.51</w:t>
      </w:r>
      <w:r>
        <w:rPr>
          <w:rFonts w:hint="eastAsia" w:ascii="宋体" w:hAnsi="宋体" w:eastAsia="仿宋_GB2312" w:cs="Times New Roman"/>
          <w:sz w:val="32"/>
          <w:szCs w:val="32"/>
        </w:rPr>
        <w:t>万元。</w:t>
      </w:r>
    </w:p>
    <w:p>
      <w:pPr>
        <w:rPr>
          <w:rFonts w:hint="eastAsia" w:ascii="宋体" w:hAnsi="宋体" w:eastAsia="仿宋_GB2312" w:cs="Times New Roman"/>
          <w:sz w:val="32"/>
          <w:szCs w:val="32"/>
          <w:lang w:eastAsia="zh-CN"/>
        </w:rPr>
      </w:pPr>
      <w:r>
        <w:rPr>
          <w:rFonts w:hint="eastAsia" w:ascii="宋体" w:hAnsi="宋体" w:eastAsia="仿宋_GB2312" w:cs="Times New Roman"/>
          <w:sz w:val="32"/>
          <w:szCs w:val="32"/>
        </w:rPr>
        <w:t>(2)绩效评价工作取得的成效</w:t>
      </w:r>
      <w:r>
        <w:rPr>
          <w:rFonts w:hint="eastAsia" w:ascii="宋体" w:hAnsi="宋体" w:eastAsia="仿宋_GB2312" w:cs="Times New Roman"/>
          <w:sz w:val="32"/>
          <w:szCs w:val="32"/>
          <w:lang w:eastAsia="zh-CN"/>
        </w:rPr>
        <w:t>：</w:t>
      </w:r>
    </w:p>
    <w:p>
      <w:pPr>
        <w:widowControl/>
        <w:ind w:firstLine="620" w:firstLineChars="200"/>
        <w:jc w:val="left"/>
        <w:rPr>
          <w:rFonts w:hint="default"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烈士建筑物均保护完好，环境优美，很好的维护了烈士纪念建筑物环境，满足</w:t>
      </w:r>
      <w:r>
        <w:rPr>
          <w:rFonts w:hint="eastAsia" w:ascii="宋体" w:hAnsi="宋体" w:eastAsia="仿宋_GB2312" w:cs="Times New Roman"/>
          <w:sz w:val="32"/>
          <w:szCs w:val="32"/>
          <w:lang w:val="en-US" w:eastAsia="zh-CN"/>
        </w:rPr>
        <w:t>了群众日常瞻仰和活动的需要，发挥了革命传统教育基地作用，达到了预期绩效目标。2021年绩效目标全面完成。</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1699B"/>
    <w:multiLevelType w:val="singleLevel"/>
    <w:tmpl w:val="F041699B"/>
    <w:lvl w:ilvl="0" w:tentative="0">
      <w:start w:val="3"/>
      <w:numFmt w:val="decimal"/>
      <w:lvlText w:val="%1."/>
      <w:lvlJc w:val="left"/>
      <w:pPr>
        <w:tabs>
          <w:tab w:val="left" w:pos="312"/>
        </w:tabs>
      </w:pPr>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2FC7D402"/>
    <w:multiLevelType w:val="singleLevel"/>
    <w:tmpl w:val="2FC7D402"/>
    <w:lvl w:ilvl="0" w:tentative="0">
      <w:start w:val="1"/>
      <w:numFmt w:val="decimal"/>
      <w:lvlText w:val="(%1)"/>
      <w:lvlJc w:val="left"/>
      <w:pPr>
        <w:tabs>
          <w:tab w:val="left" w:pos="312"/>
        </w:tabs>
      </w:pPr>
    </w:lvl>
  </w:abstractNum>
  <w:abstractNum w:abstractNumId="3">
    <w:nsid w:val="32CD2E15"/>
    <w:multiLevelType w:val="singleLevel"/>
    <w:tmpl w:val="32CD2E15"/>
    <w:lvl w:ilvl="0" w:tentative="0">
      <w:start w:val="1"/>
      <w:numFmt w:val="chineseCounting"/>
      <w:suff w:val="nothing"/>
      <w:lvlText w:val="（%1）"/>
      <w:lvlJc w:val="left"/>
      <w:rPr>
        <w:rFonts w:hint="eastAsia"/>
      </w:rPr>
    </w:lvl>
  </w:abstractNum>
  <w:abstractNum w:abstractNumId="4">
    <w:nsid w:val="40B6F801"/>
    <w:multiLevelType w:val="singleLevel"/>
    <w:tmpl w:val="40B6F801"/>
    <w:lvl w:ilvl="0" w:tentative="0">
      <w:start w:val="4"/>
      <w:numFmt w:val="decimal"/>
      <w:lvlText w:val="%1."/>
      <w:lvlJc w:val="left"/>
      <w:pPr>
        <w:tabs>
          <w:tab w:val="left" w:pos="312"/>
        </w:tabs>
      </w:pPr>
    </w:lvl>
  </w:abstractNum>
  <w:abstractNum w:abstractNumId="5">
    <w:nsid w:val="6AF4BF66"/>
    <w:multiLevelType w:val="singleLevel"/>
    <w:tmpl w:val="6AF4BF66"/>
    <w:lvl w:ilvl="0" w:tentative="0">
      <w:start w:val="1"/>
      <w:numFmt w:val="chineseCounting"/>
      <w:suff w:val="nothing"/>
      <w:lvlText w:val="%1、"/>
      <w:lvlJc w:val="left"/>
      <w:rPr>
        <w:rFonts w:hint="eastAsia"/>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0F6CEB"/>
    <w:rsid w:val="00441B6D"/>
    <w:rsid w:val="00774AFB"/>
    <w:rsid w:val="007F416D"/>
    <w:rsid w:val="00A71174"/>
    <w:rsid w:val="00C05CC6"/>
    <w:rsid w:val="00E4217F"/>
    <w:rsid w:val="02125C5B"/>
    <w:rsid w:val="075C0093"/>
    <w:rsid w:val="0A794026"/>
    <w:rsid w:val="0E7F597E"/>
    <w:rsid w:val="10383328"/>
    <w:rsid w:val="11F518FC"/>
    <w:rsid w:val="19CC37EB"/>
    <w:rsid w:val="1B512EBC"/>
    <w:rsid w:val="1BDA232D"/>
    <w:rsid w:val="1E991661"/>
    <w:rsid w:val="270B4EC4"/>
    <w:rsid w:val="28265148"/>
    <w:rsid w:val="35045E44"/>
    <w:rsid w:val="392F0BFE"/>
    <w:rsid w:val="3BA00898"/>
    <w:rsid w:val="3BC6444C"/>
    <w:rsid w:val="3BE13A3A"/>
    <w:rsid w:val="3DB65F7D"/>
    <w:rsid w:val="3F28132A"/>
    <w:rsid w:val="402D6219"/>
    <w:rsid w:val="433B3130"/>
    <w:rsid w:val="44E23054"/>
    <w:rsid w:val="45751EF3"/>
    <w:rsid w:val="491C1C23"/>
    <w:rsid w:val="4B6975A3"/>
    <w:rsid w:val="59700DCC"/>
    <w:rsid w:val="5C236868"/>
    <w:rsid w:val="5D0B3072"/>
    <w:rsid w:val="5E2B48C8"/>
    <w:rsid w:val="6BB86C8A"/>
    <w:rsid w:val="6C5C070F"/>
    <w:rsid w:val="6C6504AE"/>
    <w:rsid w:val="6D366320"/>
    <w:rsid w:val="6DAB2764"/>
    <w:rsid w:val="6ED30CE8"/>
    <w:rsid w:val="72D52DC5"/>
    <w:rsid w:val="76AC3CC0"/>
    <w:rsid w:val="78CB17A8"/>
    <w:rsid w:val="79222DD8"/>
    <w:rsid w:val="7E3F0B7D"/>
    <w:rsid w:val="7F14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
    <w:name w:val="Char2"/>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2640</Words>
  <Characters>2869</Characters>
  <Lines>6</Lines>
  <Paragraphs>7</Paragraphs>
  <TotalTime>63</TotalTime>
  <ScaleCrop>false</ScaleCrop>
  <LinksUpToDate>false</LinksUpToDate>
  <CharactersWithSpaces>2925</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2022-09-15T02:36:47Z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496E497948D54F9795FB7454772CA640</vt:lpwstr>
  </property>
</Properties>
</file>