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朔州市朔城区卫生健康和体育局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widowControl/>
        <w:shd w:val="clear" w:color="auto" w:fill="FFFFFF"/>
        <w:spacing w:line="610" w:lineRule="exact"/>
        <w:ind w:firstLine="480" w:firstLineChars="150"/>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1）统筹规划卫生健康资源配置。组织实施推进卫生健康基本公共服务均等化、普惠化、便捷化和公共资源向基层延伸等政策措施。组织分级诊疗制度建设，制定并组织实施推动卫生健康公共服务提供主体多元化、提供方式多样化的政策措施，组织深化公立医院综合改革，推进管办分离，健全现代医院管理制度。</w:t>
      </w:r>
    </w:p>
    <w:p>
      <w:pPr>
        <w:widowControl/>
        <w:shd w:val="clear" w:color="auto" w:fill="FFFFFF"/>
        <w:spacing w:line="610" w:lineRule="exact"/>
        <w:ind w:firstLine="640"/>
        <w:rPr>
          <w:rFonts w:ascii="仿宋_GB2312" w:hAnsi="仿宋_GB2312" w:eastAsia="仿宋_GB2312" w:cs="仿宋_GB2312"/>
          <w:color w:val="FF0000"/>
          <w:kern w:val="0"/>
          <w:sz w:val="32"/>
          <w:szCs w:val="30"/>
        </w:rPr>
      </w:pPr>
      <w:r>
        <w:rPr>
          <w:rFonts w:hint="eastAsia" w:ascii="仿宋_GB2312" w:hAnsi="仿宋_GB2312" w:eastAsia="仿宋_GB2312" w:cs="仿宋_GB2312"/>
          <w:kern w:val="0"/>
          <w:sz w:val="32"/>
          <w:szCs w:val="30"/>
        </w:rPr>
        <w:t>（2）负责制定疾病预防控制规划、免疫规划以及严重危害人民健康的公共卫生问题的干预措施并组织实施，执行国家检疫传染病和监测传染病目录。负责卫生应急工作，组织指导突发公共卫生事件的预防控制和各类突发公共事件的医疗卫生救援。</w:t>
      </w:r>
      <w:r>
        <w:rPr>
          <w:rFonts w:hint="eastAsia" w:ascii="仿宋_GB2312" w:hAnsi="仿宋_GB2312" w:eastAsia="仿宋_GB2312" w:cs="仿宋_GB2312"/>
          <w:color w:val="FF0000"/>
          <w:kern w:val="0"/>
          <w:sz w:val="32"/>
          <w:szCs w:val="30"/>
        </w:rPr>
        <w:t></w:t>
      </w:r>
    </w:p>
    <w:p>
      <w:pPr>
        <w:widowControl/>
        <w:shd w:val="clear" w:color="auto" w:fill="FFFFFF"/>
        <w:spacing w:line="610" w:lineRule="exact"/>
        <w:ind w:firstLine="640"/>
        <w:jc w:val="left"/>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3）组织拟订并协调落实应对人口老龄化政策措施，负责推进老年健康服务体系建设和医养结合工作。贯彻落实国家药物政策和国家基本药物制度，实施基本药物目录，开展药品使用监测、临床综合评价和短缺药品预警，提出基本药物价格政策的建议。组织开展食品安全风险监测，依法进行食品安全标准跟踪评价工作。</w:t>
      </w:r>
    </w:p>
    <w:p>
      <w:pPr>
        <w:widowControl/>
        <w:shd w:val="clear" w:color="auto" w:fill="FFFFFF"/>
        <w:spacing w:line="610" w:lineRule="exact"/>
        <w:ind w:firstLine="640"/>
        <w:jc w:val="left"/>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4）负责制定职责范围内的职业卫生、放射卫生、环境卫生、学校卫生、公共场所卫生、饮用水卫生管理规范、标准和政策措施，组织开展相关监测、调查、评估和监督管理，负责传染病防治监督，建立健全卫生健康综合监督体系。</w:t>
      </w:r>
    </w:p>
    <w:p>
      <w:pPr>
        <w:widowControl/>
        <w:shd w:val="clear" w:color="auto" w:fill="FFFFFF"/>
        <w:spacing w:line="610" w:lineRule="exact"/>
        <w:ind w:firstLine="640"/>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5）组织实施医疗机构、医疗服务行业管理办法，建立医疗服务评价和监督管理体系。组织实施医疗机构及其医疗服务、医疗技术、医疗质量、医疗安全管理的规范、标准，会同有关部门贯彻执行国家卫生健康专业技术人员资格标准，实施卫生健康专业技术人员执业规则和服务规范。</w:t>
      </w:r>
    </w:p>
    <w:p>
      <w:pPr>
        <w:widowControl/>
        <w:shd w:val="clear" w:color="auto" w:fill="FFFFFF"/>
        <w:spacing w:line="610" w:lineRule="exact"/>
        <w:ind w:firstLine="640" w:firstLineChars="200"/>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（6）负责计划生育管理和服务工作，开展人口监测预警，研究提出人口与家庭发展相关政策建议，完善计划生育政策。</w:t>
      </w:r>
    </w:p>
    <w:p>
      <w:pPr>
        <w:widowControl/>
        <w:shd w:val="clear" w:color="auto" w:fill="FFFFFF"/>
        <w:spacing w:line="610" w:lineRule="exact"/>
        <w:ind w:firstLine="640" w:firstLineChars="200"/>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（7）负责拟订基层医疗卫生、妇幼健康发展规划和政策措施，指导基层医疗卫生、妇幼健康服务</w:t>
      </w:r>
    </w:p>
    <w:p>
      <w:pPr>
        <w:widowControl/>
        <w:shd w:val="clear" w:color="auto" w:fill="FFFFFF"/>
        <w:spacing w:line="610" w:lineRule="exact"/>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体系建设和全科医生队伍建设。拟订并组织实施卫生健康科技发展规划，推进卫生健康科技创新发展。</w:t>
      </w:r>
    </w:p>
    <w:p>
      <w:pPr>
        <w:widowControl/>
        <w:shd w:val="clear" w:color="auto" w:fill="FFFFFF"/>
        <w:spacing w:line="610" w:lineRule="exact"/>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组织实施农村和社区国家基本公共卫生服务项目和流动人口基本公共卫生计生服务均等化管理工作。</w:t>
      </w:r>
    </w:p>
    <w:p>
      <w:pPr>
        <w:widowControl/>
        <w:shd w:val="clear" w:color="auto" w:fill="FFFFFF"/>
        <w:spacing w:line="610" w:lineRule="exact"/>
        <w:ind w:firstLine="640" w:firstLineChars="200"/>
        <w:jc w:val="left"/>
        <w:rPr>
          <w:rFonts w:ascii="仿宋_GB2312" w:hAnsi="仿宋_GB2312" w:eastAsia="仿宋_GB2312" w:cs="仿宋_GB2312"/>
          <w:color w:val="FF0000"/>
          <w:kern w:val="0"/>
          <w:sz w:val="32"/>
          <w:szCs w:val="30"/>
        </w:rPr>
      </w:pPr>
      <w:r>
        <w:rPr>
          <w:rFonts w:hint="eastAsia" w:ascii="仿宋_GB2312" w:hAnsi="仿宋_GB2312" w:eastAsia="仿宋_GB2312" w:cs="仿宋_GB2312"/>
          <w:kern w:val="0"/>
          <w:sz w:val="32"/>
          <w:szCs w:val="30"/>
        </w:rPr>
        <w:t>（8）负责拟订全区中医药事业发展规划、政策和措施并组织实施。加强中医药行业监督管理，统筹推进中医药振兴工作。</w:t>
      </w:r>
    </w:p>
    <w:p>
      <w:pPr>
        <w:widowControl/>
        <w:shd w:val="clear" w:color="auto" w:fill="FFFFFF"/>
        <w:spacing w:line="610" w:lineRule="exact"/>
        <w:ind w:firstLine="640" w:firstLineChars="200"/>
        <w:jc w:val="left"/>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（9）</w:t>
      </w:r>
      <w:r>
        <w:rPr>
          <w:rFonts w:ascii="仿宋_GB2312" w:hAnsi="宋体" w:eastAsia="仿宋_GB2312" w:cs="仿宋_GB2312"/>
          <w:color w:val="333333"/>
          <w:sz w:val="32"/>
          <w:szCs w:val="32"/>
          <w:shd w:val="clear" w:color="auto" w:fill="FFFFFF"/>
        </w:rPr>
        <w:t>负责全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体育事业管理。制定全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体育发展战略，拟订全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体育事业发展规划；拟订全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体育事业基本建设规划，指导全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公共体育设施建设，负责对公共体育设施的监督管理；指导开展全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群众性体育活动，抓好全民健身运动的普及和提高；做好全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体育竞技活动</w:t>
      </w:r>
      <w:r>
        <w:rPr>
          <w:rFonts w:hint="eastAsia" w:ascii="仿宋_GB2312" w:hAnsi="宋体" w:eastAsia="仿宋_GB2312" w:cs="仿宋_GB2312"/>
          <w:color w:val="333333"/>
          <w:sz w:val="32"/>
          <w:szCs w:val="32"/>
          <w:shd w:val="clear" w:color="auto" w:fill="FFFFFF"/>
        </w:rPr>
        <w:t>；</w:t>
      </w:r>
      <w:r>
        <w:rPr>
          <w:rFonts w:ascii="仿宋_GB2312" w:hAnsi="宋体" w:eastAsia="仿宋_GB2312" w:cs="仿宋_GB2312"/>
          <w:color w:val="333333"/>
          <w:sz w:val="32"/>
          <w:szCs w:val="32"/>
          <w:shd w:val="clear" w:color="auto" w:fill="FFFFFF"/>
        </w:rPr>
        <w:t>负责全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性体育社团和体育类民办非企业单位的资格审查；负责全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体育市场的管理和行政执法，</w:t>
      </w:r>
      <w:r>
        <w:rPr>
          <w:rFonts w:hint="eastAsia" w:ascii="仿宋_GB2312" w:hAnsi="宋体" w:eastAsia="仿宋_GB2312" w:cs="仿宋_GB2312"/>
          <w:color w:val="333333"/>
          <w:sz w:val="32"/>
          <w:szCs w:val="32"/>
          <w:shd w:val="clear" w:color="auto" w:fill="FFFFFF"/>
        </w:rPr>
        <w:t>协调</w:t>
      </w:r>
      <w:r>
        <w:rPr>
          <w:rFonts w:ascii="仿宋_GB2312" w:hAnsi="宋体" w:eastAsia="仿宋_GB2312" w:cs="仿宋_GB2312"/>
          <w:color w:val="333333"/>
          <w:sz w:val="32"/>
          <w:szCs w:val="32"/>
          <w:shd w:val="clear" w:color="auto" w:fill="FFFFFF"/>
        </w:rPr>
        <w:t>指导监督全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体育彩票销售工作。</w:t>
      </w:r>
    </w:p>
    <w:p>
      <w:pPr>
        <w:widowControl/>
        <w:shd w:val="clear" w:color="auto" w:fill="FFFFFF"/>
        <w:spacing w:line="610" w:lineRule="exact"/>
        <w:ind w:firstLine="640" w:firstLineChars="200"/>
        <w:jc w:val="left"/>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（10）承担区爱国卫生运动委员会、区老龄工作委员会、区防治艾滋病工作委员会、区深化医药卫生体制改革领导小组、区地方病防治领导小组的日常工作，指导区计划生育协会的业务工作。</w:t>
      </w:r>
    </w:p>
    <w:p>
      <w:pPr>
        <w:spacing w:line="800" w:lineRule="exact"/>
        <w:ind w:firstLine="640" w:firstLineChars="200"/>
        <w:rPr>
          <w:rFonts w:ascii="仿宋" w:hAnsi="仿宋" w:eastAsia="仿宋" w:cs="仿宋"/>
          <w:sz w:val="32"/>
          <w:szCs w:val="32"/>
        </w:rPr>
      </w:pPr>
      <w:r>
        <w:rPr>
          <w:rFonts w:hint="eastAsia" w:ascii="仿宋_GB2312" w:hAnsi="仿宋_GB2312" w:eastAsia="仿宋_GB2312" w:cs="仿宋_GB2312"/>
          <w:kern w:val="0"/>
          <w:sz w:val="32"/>
          <w:szCs w:val="30"/>
        </w:rPr>
        <w:t>（11）</w:t>
      </w:r>
      <w:r>
        <w:rPr>
          <w:rFonts w:hint="eastAsia" w:ascii="仿宋_GB2312" w:hAnsi="仿宋_GB2312" w:eastAsia="仿宋_GB2312" w:cs="仿宋_GB2312"/>
          <w:sz w:val="32"/>
          <w:szCs w:val="32"/>
        </w:rPr>
        <w:t>完成区委、区政府交办的其他任务。</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仿宋" w:hAnsi="仿宋" w:eastAsia="仿宋" w:cs="仿宋"/>
          <w:b w:val="0"/>
          <w:bCs/>
          <w:color w:val="auto"/>
          <w:sz w:val="30"/>
          <w:szCs w:val="30"/>
          <w:highlight w:val="none"/>
          <w:lang w:val="en-US" w:eastAsia="zh-CN"/>
        </w:rPr>
        <w:t>9个</w:t>
      </w:r>
      <w:r>
        <w:rPr>
          <w:rFonts w:hint="eastAsia" w:ascii="仿宋" w:hAnsi="仿宋" w:eastAsia="仿宋" w:cs="仿宋"/>
          <w:b w:val="0"/>
          <w:bCs/>
          <w:color w:val="auto"/>
          <w:sz w:val="30"/>
          <w:szCs w:val="30"/>
          <w:highlight w:val="none"/>
          <w:lang w:eastAsia="zh-CN"/>
        </w:rPr>
        <w:t>股室，分别是：</w:t>
      </w:r>
      <w:r>
        <w:rPr>
          <w:rFonts w:hint="eastAsia" w:ascii="仿宋" w:hAnsi="仿宋" w:eastAsia="仿宋" w:cs="仿宋"/>
          <w:b w:val="0"/>
          <w:bCs/>
          <w:color w:val="auto"/>
          <w:sz w:val="30"/>
          <w:szCs w:val="30"/>
          <w:highlight w:val="none"/>
          <w:lang w:val="en-US" w:eastAsia="zh-CN"/>
        </w:rPr>
        <w:t>1、秘书股；2、规划发展和信息化股；3、疾病防控与妇幼健康服务股；4、医政医管股；5、中医药管理股；6、基层卫生股；7、应急综合监督股；8、人口和家庭发展股（养老服务股）；9、体育股。</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val="en-US" w:eastAsia="zh-CN"/>
        </w:rPr>
        <w:t>我单位为一级预算单位，</w:t>
      </w:r>
      <w:r>
        <w:rPr>
          <w:rFonts w:hint="eastAsia" w:ascii="宋体" w:hAnsi="宋体" w:eastAsia="仿宋_GB2312" w:cs="Times New Roman"/>
          <w:sz w:val="32"/>
          <w:szCs w:val="32"/>
        </w:rPr>
        <w:t>下属</w:t>
      </w:r>
      <w:r>
        <w:rPr>
          <w:rFonts w:hint="eastAsia" w:ascii="宋体" w:hAnsi="宋体" w:eastAsia="仿宋_GB2312" w:cs="Times New Roman"/>
          <w:sz w:val="32"/>
          <w:szCs w:val="32"/>
          <w:lang w:val="en-US" w:eastAsia="zh-CN"/>
        </w:rPr>
        <w:t>25</w:t>
      </w:r>
      <w:r>
        <w:rPr>
          <w:rFonts w:hint="eastAsia" w:ascii="宋体" w:hAnsi="宋体" w:eastAsia="仿宋_GB2312" w:cs="Times New Roman"/>
          <w:sz w:val="32"/>
          <w:szCs w:val="32"/>
        </w:rPr>
        <w:t>个单位。从预算单位构成看，</w:t>
      </w:r>
      <w:r>
        <w:rPr>
          <w:rFonts w:hint="eastAsia" w:ascii="宋体" w:hAnsi="宋体" w:eastAsia="仿宋_GB2312" w:cs="Times New Roman"/>
          <w:sz w:val="32"/>
          <w:szCs w:val="32"/>
          <w:lang w:val="en-US" w:eastAsia="zh-CN"/>
        </w:rPr>
        <w:t>朔城区卫生健康和体育局</w:t>
      </w:r>
      <w:r>
        <w:rPr>
          <w:rFonts w:hint="eastAsia" w:ascii="宋体" w:hAnsi="宋体" w:eastAsia="仿宋_GB2312" w:cs="Times New Roman"/>
          <w:sz w:val="32"/>
          <w:szCs w:val="32"/>
        </w:rPr>
        <w:t>单位部门决算包括：本级决算、所属朔州市朔城区疾病预防控制中心；朔州市朔城区卫生学校；朔州市朔城区卫生健康综合行政执法队；朔州市朔城区妇幼保健院；朔州市平朔医院；朔州市朔城区人民医院；朔州市朔城区第二人民医院；朔州市朔城区中医医院；朔州市朔城区机关门诊部；朔州市朔城区眼科医院；朔州市朔城区利民镇卫生院；朔州市朔城区滋润乡卫生院；朔州市朔城区神头镇卫生院；朔州市朔城区贾庄乡卫生院；朔州市朔城区窑子头乡卫生院；朔州市朔城区张蔡庄乡卫生院；朔州市朔城区下团堡卫生院；朔州市朔城区小平易卫生院；朔州市朔城区南榆林乡卫生院；朔州市朔城区沙塄河乡卫生院；朔州市朔城区北城街道办事处社区卫生服务中心；朔州市朔城区南城街道办事处社区卫生服务中心；朔州市朔城区北旺庄街道办事处社区卫生服务中心；朔州市朔城区神头街道办事处社区卫生服务中心；朔州市朔城区青少年业余体育学校</w:t>
      </w:r>
      <w:r>
        <w:rPr>
          <w:rFonts w:hint="eastAsia" w:ascii="宋体" w:hAnsi="宋体" w:eastAsia="仿宋_GB2312" w:cs="Times New Roman"/>
          <w:sz w:val="32"/>
          <w:szCs w:val="32"/>
          <w:lang w:val="en-US" w:eastAsia="zh-CN"/>
        </w:rPr>
        <w:t>决算</w:t>
      </w:r>
      <w:r>
        <w:rPr>
          <w:rFonts w:hint="eastAsia" w:ascii="宋体" w:hAnsi="宋体" w:eastAsia="仿宋_GB2312" w:cs="Times New Roman"/>
          <w:sz w:val="32"/>
          <w:szCs w:val="32"/>
        </w:rPr>
        <w:t>。</w:t>
      </w:r>
    </w:p>
    <w:p>
      <w:pPr>
        <w:rPr>
          <w:rFonts w:ascii="仿宋" w:hAnsi="仿宋" w:eastAsia="仿宋" w:cs="仿宋"/>
          <w:sz w:val="24"/>
          <w:szCs w:val="24"/>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w:t>
      </w:r>
      <w:r>
        <w:rPr>
          <w:rFonts w:hint="eastAsia" w:ascii="宋体" w:hAnsi="宋体" w:eastAsia="仿宋_GB2312" w:cs="Times New Roman"/>
          <w:spacing w:val="-28"/>
          <w:kern w:val="21"/>
          <w:sz w:val="32"/>
          <w:szCs w:val="32"/>
        </w:rPr>
        <w:t>年 度 收 入 总 计</w:t>
      </w:r>
      <w:r>
        <w:rPr>
          <w:rFonts w:hint="eastAsia" w:ascii="宋体" w:hAnsi="宋体" w:eastAsia="仿宋_GB2312" w:cs="Times New Roman"/>
          <w:sz w:val="32"/>
          <w:szCs w:val="32"/>
          <w:lang w:val="en-US" w:eastAsia="zh-CN"/>
        </w:rPr>
        <w:t>64636.73</w:t>
      </w:r>
      <w:r>
        <w:rPr>
          <w:rFonts w:hint="eastAsia" w:ascii="宋体" w:hAnsi="宋体" w:eastAsia="仿宋_GB2312" w:cs="Times New Roman"/>
          <w:sz w:val="32"/>
          <w:szCs w:val="32"/>
        </w:rPr>
        <w:t xml:space="preserve">万元 、 </w:t>
      </w:r>
      <w:r>
        <w:rPr>
          <w:rFonts w:hint="eastAsia" w:ascii="宋体" w:hAnsi="宋体" w:eastAsia="仿宋_GB2312" w:cs="Times New Roman"/>
          <w:spacing w:val="-24"/>
          <w:sz w:val="32"/>
          <w:szCs w:val="32"/>
        </w:rPr>
        <w:t>支 出 总 计</w:t>
      </w:r>
      <w:r>
        <w:rPr>
          <w:rFonts w:hint="eastAsia" w:ascii="宋体" w:hAnsi="宋体" w:eastAsia="仿宋_GB2312" w:cs="Times New Roman"/>
          <w:sz w:val="32"/>
          <w:szCs w:val="32"/>
          <w:lang w:val="en-US" w:eastAsia="zh-CN"/>
        </w:rPr>
        <w:t>64636.73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w:t>
      </w:r>
      <w:r>
        <w:rPr>
          <w:rFonts w:hint="eastAsia" w:ascii="宋体" w:hAnsi="宋体" w:eastAsia="仿宋_GB2312" w:cs="Times New Roman"/>
          <w:sz w:val="32"/>
          <w:szCs w:val="32"/>
          <w:lang w:val="en-US" w:eastAsia="zh-CN"/>
        </w:rPr>
        <w:t>增加56065.28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增加</w:t>
      </w:r>
      <w:r>
        <w:rPr>
          <w:rFonts w:ascii="仿宋" w:hAnsi="仿宋" w:eastAsia="仿宋" w:cs="仿宋"/>
          <w:spacing w:val="-34"/>
          <w:sz w:val="32"/>
          <w:szCs w:val="32"/>
          <w:highlight w:val="none"/>
        </w:rPr>
        <w:t xml:space="preserve"> </w:t>
      </w:r>
      <w:r>
        <w:rPr>
          <w:rFonts w:hint="eastAsia" w:ascii="仿宋" w:hAnsi="仿宋" w:eastAsia="仿宋" w:cs="仿宋"/>
          <w:spacing w:val="2"/>
          <w:sz w:val="32"/>
          <w:szCs w:val="32"/>
          <w:highlight w:val="none"/>
          <w:lang w:val="en-US" w:eastAsia="zh-CN"/>
        </w:rPr>
        <w:t>56065.28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机构改革并入</w:t>
      </w:r>
      <w:r>
        <w:rPr>
          <w:rFonts w:hint="eastAsia" w:ascii="宋体" w:hAnsi="宋体" w:eastAsia="仿宋_GB2312" w:cs="Times New Roman"/>
          <w:sz w:val="32"/>
          <w:szCs w:val="32"/>
        </w:rPr>
        <w:t>朔城区人民医院；朔城区第二人民医院</w:t>
      </w:r>
      <w:r>
        <w:rPr>
          <w:rFonts w:hint="eastAsia" w:ascii="宋体" w:hAnsi="宋体" w:eastAsia="仿宋_GB2312" w:cs="Times New Roman"/>
          <w:sz w:val="32"/>
          <w:szCs w:val="32"/>
          <w:lang w:val="en-US" w:eastAsia="zh-CN"/>
        </w:rPr>
        <w:t>、朔城区北旺庄社区卫生服务中心、朔城区神头镇卫生院等18家预算单位。</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60293.54</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24039.08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36240.34</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14.12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61245.68</w:t>
      </w:r>
      <w:r>
        <w:rPr>
          <w:rFonts w:hint="eastAsia" w:ascii="宋体" w:hAnsi="宋体" w:eastAsia="仿宋_GB2312" w:cs="Times New Roman"/>
          <w:sz w:val="32"/>
          <w:szCs w:val="32"/>
        </w:rPr>
        <w:t>万元，其中：基本支出</w:t>
      </w:r>
      <w:r>
        <w:rPr>
          <w:rFonts w:hint="eastAsia" w:ascii="仿宋" w:hAnsi="仿宋" w:eastAsia="仿宋" w:cs="仿宋"/>
          <w:sz w:val="32"/>
          <w:szCs w:val="32"/>
        </w:rPr>
        <w:t>42319.15</w:t>
      </w:r>
      <w:r>
        <w:rPr>
          <w:rFonts w:hint="eastAsia" w:ascii="宋体" w:hAnsi="宋体" w:eastAsia="仿宋_GB2312" w:cs="Times New Roman"/>
          <w:sz w:val="32"/>
          <w:szCs w:val="32"/>
        </w:rPr>
        <w:t>万元；项目支出</w:t>
      </w:r>
      <w:r>
        <w:rPr>
          <w:rFonts w:hint="eastAsia" w:ascii="仿宋" w:hAnsi="仿宋" w:eastAsia="仿宋" w:cs="仿宋"/>
          <w:sz w:val="32"/>
          <w:szCs w:val="32"/>
        </w:rPr>
        <w:t>18926.53</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rPr>
        <w:t>27235.78</w:t>
      </w:r>
      <w:r>
        <w:rPr>
          <w:rFonts w:hint="eastAsia" w:ascii="宋体" w:hAnsi="宋体" w:eastAsia="仿宋_GB2312" w:cs="Times New Roman"/>
          <w:sz w:val="32"/>
          <w:szCs w:val="32"/>
        </w:rPr>
        <w:t xml:space="preserve">万元、支出总计27235.78万元。与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w:t>
      </w:r>
      <w:r>
        <w:rPr>
          <w:rFonts w:hint="eastAsia" w:ascii="宋体" w:hAnsi="宋体" w:eastAsia="仿宋_GB2312" w:cs="Times New Roman"/>
          <w:sz w:val="32"/>
          <w:szCs w:val="32"/>
          <w:lang w:val="en-US" w:eastAsia="zh-CN"/>
        </w:rPr>
        <w:t>增加</w:t>
      </w:r>
      <w:r>
        <w:rPr>
          <w:rFonts w:hint="eastAsia" w:ascii="宋体" w:hAnsi="宋体" w:eastAsia="仿宋_GB2312" w:cs="Times New Roman"/>
          <w:sz w:val="32"/>
          <w:szCs w:val="32"/>
          <w:highlight w:val="none"/>
          <w:lang w:val="en-US" w:eastAsia="zh-CN"/>
        </w:rPr>
        <w:t>18814.87</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增加</w:t>
      </w:r>
      <w:r>
        <w:rPr>
          <w:rFonts w:hint="eastAsia" w:ascii="宋体" w:hAnsi="宋体" w:eastAsia="仿宋_GB2312" w:cs="Times New Roman"/>
          <w:sz w:val="32"/>
          <w:szCs w:val="32"/>
          <w:highlight w:val="none"/>
          <w:lang w:val="en-US" w:eastAsia="zh-CN"/>
        </w:rPr>
        <w:t>223.43</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机构改革并入</w:t>
      </w:r>
      <w:r>
        <w:rPr>
          <w:rFonts w:hint="eastAsia" w:ascii="宋体" w:hAnsi="宋体" w:eastAsia="仿宋_GB2312" w:cs="Times New Roman"/>
          <w:sz w:val="32"/>
          <w:szCs w:val="32"/>
        </w:rPr>
        <w:t>朔城区人民医院；朔城区第二人民医院</w:t>
      </w:r>
      <w:r>
        <w:rPr>
          <w:rFonts w:hint="eastAsia" w:ascii="宋体" w:hAnsi="宋体" w:eastAsia="仿宋_GB2312" w:cs="Times New Roman"/>
          <w:sz w:val="32"/>
          <w:szCs w:val="32"/>
          <w:lang w:val="en-US" w:eastAsia="zh-CN"/>
        </w:rPr>
        <w:t>、朔城区北旺庄社区卫生服务中心、朔城区神头镇卫生院等18家预算单位。</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22095.74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w:t>
      </w:r>
      <w:r>
        <w:rPr>
          <w:rFonts w:hint="eastAsia" w:ascii="宋体" w:hAnsi="宋体" w:eastAsia="仿宋_GB2312" w:cs="Times New Roman"/>
          <w:sz w:val="32"/>
          <w:szCs w:val="32"/>
          <w:highlight w:val="none"/>
          <w:lang w:val="en-US" w:eastAsia="zh-CN"/>
        </w:rPr>
        <w:t>增长16222.55</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机构改革并入</w:t>
      </w:r>
      <w:r>
        <w:rPr>
          <w:rFonts w:hint="eastAsia" w:ascii="宋体" w:hAnsi="宋体" w:eastAsia="仿宋_GB2312" w:cs="Times New Roman"/>
          <w:sz w:val="32"/>
          <w:szCs w:val="32"/>
        </w:rPr>
        <w:t>朔城区人民医院；朔城区第二人民医院</w:t>
      </w:r>
      <w:r>
        <w:rPr>
          <w:rFonts w:hint="eastAsia" w:ascii="宋体" w:hAnsi="宋体" w:eastAsia="仿宋_GB2312" w:cs="Times New Roman"/>
          <w:sz w:val="32"/>
          <w:szCs w:val="32"/>
          <w:lang w:val="en-US" w:eastAsia="zh-CN"/>
        </w:rPr>
        <w:t>、朔城区北旺庄社区卫生服务中心、朔城区神头镇卫生院等18家预算单位。</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22095.74</w:t>
      </w:r>
      <w:r>
        <w:rPr>
          <w:rFonts w:hint="eastAsia" w:ascii="宋体" w:hAnsi="宋体" w:eastAsia="仿宋_GB2312" w:cs="Times New Roman"/>
          <w:sz w:val="32"/>
          <w:szCs w:val="32"/>
        </w:rPr>
        <w:t>万元，主要用于以下方面：2012901行政运行科目支出4.52万元，占</w:t>
      </w:r>
      <w:r>
        <w:rPr>
          <w:rFonts w:hint="eastAsia" w:ascii="宋体" w:hAnsi="宋体" w:eastAsia="仿宋_GB2312" w:cs="Times New Roman"/>
          <w:sz w:val="32"/>
          <w:szCs w:val="32"/>
          <w:highlight w:val="none"/>
          <w:lang w:val="en-US" w:eastAsia="zh-CN"/>
        </w:rPr>
        <w:t>0.02</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2050203初中教育科目支出118.04万元，占</w:t>
      </w:r>
      <w:r>
        <w:rPr>
          <w:rFonts w:hint="eastAsia" w:ascii="宋体" w:hAnsi="宋体" w:eastAsia="仿宋_GB2312" w:cs="Times New Roman"/>
          <w:sz w:val="32"/>
          <w:szCs w:val="32"/>
          <w:highlight w:val="none"/>
          <w:lang w:val="en-US" w:eastAsia="zh-CN"/>
        </w:rPr>
        <w:t>0.53</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2069999其他科学技术支出科目支出0.5万元，占</w:t>
      </w:r>
      <w:r>
        <w:rPr>
          <w:rFonts w:hint="eastAsia" w:ascii="宋体" w:hAnsi="宋体" w:eastAsia="仿宋_GB2312" w:cs="Times New Roman"/>
          <w:sz w:val="32"/>
          <w:szCs w:val="32"/>
          <w:highlight w:val="none"/>
          <w:lang w:val="en-US" w:eastAsia="zh-CN"/>
        </w:rPr>
        <w:t>0.002</w:t>
      </w:r>
      <w:r>
        <w:rPr>
          <w:rFonts w:hint="eastAsia" w:ascii="宋体" w:hAnsi="宋体" w:eastAsia="仿宋_GB2312" w:cs="Times New Roman"/>
          <w:sz w:val="32"/>
          <w:szCs w:val="32"/>
        </w:rPr>
        <w:t>%；2070399其他体育支出科目支出16.91万元，占</w:t>
      </w:r>
      <w:r>
        <w:rPr>
          <w:rFonts w:hint="eastAsia" w:ascii="宋体" w:hAnsi="宋体" w:eastAsia="仿宋_GB2312" w:cs="Times New Roman"/>
          <w:sz w:val="32"/>
          <w:szCs w:val="32"/>
          <w:highlight w:val="none"/>
          <w:lang w:val="en-US" w:eastAsia="zh-CN"/>
        </w:rPr>
        <w:t>0.08</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；2079999其他文化旅游体育与传媒支出25.2万元，</w:t>
      </w:r>
      <w:r>
        <w:rPr>
          <w:rFonts w:hint="eastAsia" w:ascii="宋体" w:hAnsi="宋体" w:eastAsia="仿宋_GB2312" w:cs="Times New Roman"/>
          <w:sz w:val="32"/>
          <w:szCs w:val="32"/>
          <w:highlight w:val="none"/>
        </w:rPr>
        <w:t>占</w:t>
      </w:r>
      <w:r>
        <w:rPr>
          <w:rFonts w:hint="eastAsia" w:ascii="宋体" w:hAnsi="宋体" w:eastAsia="仿宋_GB2312" w:cs="Times New Roman"/>
          <w:sz w:val="32"/>
          <w:szCs w:val="32"/>
          <w:highlight w:val="none"/>
          <w:lang w:val="en-US" w:eastAsia="zh-CN"/>
        </w:rPr>
        <w:t>0.11</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；2080801死亡抚恤科目支出89.1万元，占</w:t>
      </w:r>
      <w:r>
        <w:rPr>
          <w:rFonts w:hint="eastAsia" w:ascii="宋体" w:hAnsi="宋体" w:eastAsia="仿宋_GB2312" w:cs="Times New Roman"/>
          <w:sz w:val="32"/>
          <w:szCs w:val="32"/>
          <w:highlight w:val="none"/>
          <w:lang w:val="en-US" w:eastAsia="zh-CN"/>
        </w:rPr>
        <w:t>0.40</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lang w:eastAsia="zh-CN"/>
        </w:rPr>
        <w:t>，2100101行政运行</w:t>
      </w:r>
      <w:r>
        <w:rPr>
          <w:rFonts w:hint="eastAsia" w:ascii="宋体" w:hAnsi="宋体" w:eastAsia="仿宋_GB2312" w:cs="Times New Roman"/>
          <w:sz w:val="32"/>
          <w:szCs w:val="32"/>
        </w:rPr>
        <w:t>科目支出172.89万元，占</w:t>
      </w:r>
      <w:r>
        <w:rPr>
          <w:rFonts w:hint="eastAsia" w:ascii="宋体" w:hAnsi="宋体" w:eastAsia="仿宋_GB2312" w:cs="Times New Roman"/>
          <w:sz w:val="32"/>
          <w:szCs w:val="32"/>
          <w:highlight w:val="none"/>
          <w:lang w:val="en-US" w:eastAsia="zh-CN"/>
        </w:rPr>
        <w:t>0.78</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；2100102一般行政管理事务科目支出68.96万元，占</w:t>
      </w:r>
      <w:r>
        <w:rPr>
          <w:rFonts w:hint="eastAsia" w:ascii="宋体" w:hAnsi="宋体" w:eastAsia="仿宋_GB2312" w:cs="Times New Roman"/>
          <w:sz w:val="32"/>
          <w:szCs w:val="32"/>
          <w:highlight w:val="none"/>
          <w:lang w:val="en-US" w:eastAsia="zh-CN"/>
        </w:rPr>
        <w:t>0.31</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；2100103机关服务科目支出9.67万元，占</w:t>
      </w:r>
      <w:r>
        <w:rPr>
          <w:rFonts w:hint="eastAsia" w:ascii="宋体" w:hAnsi="宋体" w:eastAsia="仿宋_GB2312" w:cs="Times New Roman"/>
          <w:sz w:val="32"/>
          <w:szCs w:val="32"/>
          <w:highlight w:val="none"/>
          <w:lang w:val="en-US" w:eastAsia="zh-CN"/>
        </w:rPr>
        <w:t>0.04</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；2100199其他卫生健康管理事务支出科目支出110.58万元，</w:t>
      </w:r>
      <w:r>
        <w:rPr>
          <w:rFonts w:hint="eastAsia" w:ascii="宋体" w:hAnsi="宋体" w:eastAsia="仿宋_GB2312" w:cs="Times New Roman"/>
          <w:sz w:val="32"/>
          <w:szCs w:val="32"/>
          <w:highlight w:val="none"/>
        </w:rPr>
        <w:t>占</w:t>
      </w:r>
      <w:r>
        <w:rPr>
          <w:rFonts w:hint="eastAsia" w:ascii="宋体" w:hAnsi="宋体" w:eastAsia="仿宋_GB2312" w:cs="Times New Roman"/>
          <w:sz w:val="32"/>
          <w:szCs w:val="32"/>
          <w:highlight w:val="none"/>
          <w:lang w:val="en-US" w:eastAsia="zh-CN"/>
        </w:rPr>
        <w:t>0.50</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2100201综合医院科目支出7912.28万元，占</w:t>
      </w:r>
      <w:r>
        <w:rPr>
          <w:rFonts w:hint="eastAsia" w:ascii="宋体" w:hAnsi="宋体" w:eastAsia="仿宋_GB2312" w:cs="Times New Roman"/>
          <w:sz w:val="32"/>
          <w:szCs w:val="32"/>
          <w:highlight w:val="none"/>
          <w:lang w:val="en-US" w:eastAsia="zh-CN"/>
        </w:rPr>
        <w:t>35.81</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2100202中医（民族）医院科目支出569.24万元，占</w:t>
      </w:r>
      <w:r>
        <w:rPr>
          <w:rFonts w:hint="eastAsia" w:ascii="宋体" w:hAnsi="宋体" w:eastAsia="仿宋_GB2312" w:cs="Times New Roman"/>
          <w:sz w:val="32"/>
          <w:szCs w:val="32"/>
          <w:highlight w:val="none"/>
          <w:lang w:val="en-US" w:eastAsia="zh-CN"/>
        </w:rPr>
        <w:t>2.58</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2100299其他公立医院支出科目支出126.34万元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占</w:t>
      </w:r>
      <w:r>
        <w:rPr>
          <w:rFonts w:hint="eastAsia" w:ascii="宋体" w:hAnsi="宋体" w:eastAsia="仿宋_GB2312" w:cs="Times New Roman"/>
          <w:sz w:val="32"/>
          <w:szCs w:val="32"/>
          <w:highlight w:val="none"/>
          <w:lang w:val="en-US" w:eastAsia="zh-CN"/>
        </w:rPr>
        <w:t>0.57</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；2100301城市社区卫生机构科目支出239万元，占</w:t>
      </w:r>
      <w:r>
        <w:rPr>
          <w:rFonts w:hint="eastAsia" w:ascii="宋体" w:hAnsi="宋体" w:eastAsia="仿宋_GB2312" w:cs="Times New Roman"/>
          <w:sz w:val="32"/>
          <w:szCs w:val="32"/>
          <w:highlight w:val="none"/>
          <w:lang w:val="en-US" w:eastAsia="zh-CN"/>
        </w:rPr>
        <w:t>1.08</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；2100302乡镇卫生院科目支出1762.71万元，占</w:t>
      </w:r>
      <w:r>
        <w:rPr>
          <w:rFonts w:hint="eastAsia" w:ascii="宋体" w:hAnsi="宋体" w:eastAsia="仿宋_GB2312" w:cs="Times New Roman"/>
          <w:sz w:val="32"/>
          <w:szCs w:val="32"/>
          <w:highlight w:val="none"/>
          <w:lang w:val="en-US" w:eastAsia="zh-CN"/>
        </w:rPr>
        <w:t>7.98</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；2100399其他基层医疗卫生机构支出科目支出1689.89万元，</w:t>
      </w:r>
      <w:r>
        <w:rPr>
          <w:rFonts w:hint="eastAsia" w:ascii="宋体" w:hAnsi="宋体" w:eastAsia="仿宋_GB2312" w:cs="Times New Roman"/>
          <w:sz w:val="32"/>
          <w:szCs w:val="32"/>
          <w:highlight w:val="none"/>
        </w:rPr>
        <w:t>占</w:t>
      </w:r>
      <w:r>
        <w:rPr>
          <w:rFonts w:hint="eastAsia" w:ascii="宋体" w:hAnsi="宋体" w:eastAsia="仿宋_GB2312" w:cs="Times New Roman"/>
          <w:sz w:val="32"/>
          <w:szCs w:val="32"/>
          <w:highlight w:val="none"/>
          <w:lang w:val="en-US" w:eastAsia="zh-CN"/>
        </w:rPr>
        <w:t>7.65</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；2100401疾病预防控制机构科目支出879.57万元，占</w:t>
      </w:r>
      <w:r>
        <w:rPr>
          <w:rFonts w:hint="eastAsia" w:ascii="宋体" w:hAnsi="宋体" w:eastAsia="仿宋_GB2312" w:cs="Times New Roman"/>
          <w:sz w:val="32"/>
          <w:szCs w:val="32"/>
          <w:highlight w:val="none"/>
          <w:lang w:val="en-US" w:eastAsia="zh-CN"/>
        </w:rPr>
        <w:t>3.98</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；2100402卫生监督机构科目支出363.09万元，占</w:t>
      </w:r>
      <w:r>
        <w:rPr>
          <w:rFonts w:hint="eastAsia" w:ascii="宋体" w:hAnsi="宋体" w:eastAsia="仿宋_GB2312" w:cs="Times New Roman"/>
          <w:sz w:val="32"/>
          <w:szCs w:val="32"/>
          <w:highlight w:val="none"/>
          <w:lang w:val="en-US" w:eastAsia="zh-CN"/>
        </w:rPr>
        <w:t>1.64</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；2100403妇幼保健机构科目支出523.36万元，占</w:t>
      </w:r>
      <w:r>
        <w:rPr>
          <w:rFonts w:hint="eastAsia" w:ascii="宋体" w:hAnsi="宋体" w:eastAsia="仿宋_GB2312" w:cs="Times New Roman"/>
          <w:sz w:val="32"/>
          <w:szCs w:val="32"/>
          <w:highlight w:val="none"/>
          <w:lang w:val="en-US" w:eastAsia="zh-CN"/>
        </w:rPr>
        <w:t>2.37</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2100408基本公共卫生服务科目支出3497.09万元，占</w:t>
      </w:r>
      <w:r>
        <w:rPr>
          <w:rFonts w:hint="eastAsia" w:ascii="宋体" w:hAnsi="宋体" w:eastAsia="仿宋_GB2312" w:cs="Times New Roman"/>
          <w:sz w:val="32"/>
          <w:szCs w:val="32"/>
          <w:highlight w:val="none"/>
          <w:lang w:val="en-US" w:eastAsia="zh-CN"/>
        </w:rPr>
        <w:t>15.83</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2100409重大公共卫生服务科目支出72.64万元，占</w:t>
      </w:r>
      <w:r>
        <w:rPr>
          <w:rFonts w:hint="eastAsia" w:ascii="宋体" w:hAnsi="宋体" w:eastAsia="仿宋_GB2312" w:cs="Times New Roman"/>
          <w:sz w:val="32"/>
          <w:szCs w:val="32"/>
          <w:highlight w:val="none"/>
          <w:lang w:val="en-US" w:eastAsia="zh-CN"/>
        </w:rPr>
        <w:t>0.33</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2100410突发公共卫生事件应急处理科目支出883.79万元，占</w:t>
      </w:r>
      <w:r>
        <w:rPr>
          <w:rFonts w:hint="eastAsia" w:ascii="宋体" w:hAnsi="宋体" w:eastAsia="仿宋_GB2312" w:cs="Times New Roman"/>
          <w:sz w:val="32"/>
          <w:szCs w:val="32"/>
          <w:highlight w:val="none"/>
          <w:lang w:val="en-US" w:eastAsia="zh-CN"/>
        </w:rPr>
        <w:t>4.0</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2100499其他公共卫生支出科目支出2135.63万元，</w:t>
      </w:r>
      <w:r>
        <w:rPr>
          <w:rFonts w:hint="eastAsia" w:ascii="宋体" w:hAnsi="宋体" w:eastAsia="仿宋_GB2312" w:cs="Times New Roman"/>
          <w:sz w:val="32"/>
          <w:szCs w:val="32"/>
          <w:highlight w:val="none"/>
        </w:rPr>
        <w:t>占</w:t>
      </w:r>
      <w:r>
        <w:rPr>
          <w:rFonts w:hint="eastAsia" w:ascii="宋体" w:hAnsi="宋体" w:eastAsia="仿宋_GB2312" w:cs="Times New Roman"/>
          <w:sz w:val="32"/>
          <w:szCs w:val="32"/>
          <w:highlight w:val="none"/>
          <w:lang w:val="en-US" w:eastAsia="zh-CN"/>
        </w:rPr>
        <w:t>9.67</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2100601 中医（民族医）药专项科目支出5</w:t>
      </w:r>
      <w:r>
        <w:rPr>
          <w:rFonts w:hint="eastAsia" w:ascii="宋体" w:hAnsi="宋体" w:eastAsia="仿宋_GB2312" w:cs="Times New Roman"/>
          <w:sz w:val="32"/>
          <w:szCs w:val="32"/>
          <w:lang w:val="en-US" w:eastAsia="zh-CN"/>
        </w:rPr>
        <w:t>.00</w:t>
      </w:r>
      <w:r>
        <w:rPr>
          <w:rFonts w:hint="eastAsia" w:ascii="宋体" w:hAnsi="宋体" w:eastAsia="仿宋_GB2312" w:cs="Times New Roman"/>
          <w:sz w:val="32"/>
          <w:szCs w:val="32"/>
        </w:rPr>
        <w:t>万元，占</w:t>
      </w:r>
      <w:r>
        <w:rPr>
          <w:rFonts w:hint="eastAsia" w:ascii="宋体" w:hAnsi="宋体" w:eastAsia="仿宋_GB2312" w:cs="Times New Roman"/>
          <w:sz w:val="32"/>
          <w:szCs w:val="32"/>
          <w:highlight w:val="none"/>
          <w:lang w:val="en-US" w:eastAsia="zh-CN"/>
        </w:rPr>
        <w:t>0.02</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2100717计划生育服务科目支出6.84万元，占</w:t>
      </w:r>
      <w:r>
        <w:rPr>
          <w:rFonts w:hint="eastAsia" w:ascii="宋体" w:hAnsi="宋体" w:eastAsia="仿宋_GB2312" w:cs="Times New Roman"/>
          <w:sz w:val="32"/>
          <w:szCs w:val="32"/>
          <w:highlight w:val="none"/>
          <w:lang w:val="en-US" w:eastAsia="zh-CN"/>
        </w:rPr>
        <w:t>0.03</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；2100799其他计划生育事务支出科目支出532.41万元，占</w:t>
      </w:r>
      <w:r>
        <w:rPr>
          <w:rFonts w:hint="eastAsia" w:ascii="宋体" w:hAnsi="宋体" w:eastAsia="仿宋_GB2312" w:cs="Times New Roman"/>
          <w:sz w:val="32"/>
          <w:szCs w:val="32"/>
          <w:highlight w:val="none"/>
          <w:lang w:val="en-US" w:eastAsia="zh-CN"/>
        </w:rPr>
        <w:t>2.41</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rPr>
        <w:t>2</w:t>
      </w:r>
      <w:bookmarkStart w:id="22" w:name="_GoBack"/>
      <w:bookmarkEnd w:id="22"/>
      <w:r>
        <w:rPr>
          <w:rFonts w:hint="eastAsia" w:ascii="宋体" w:hAnsi="宋体" w:eastAsia="仿宋_GB2312" w:cs="Times New Roman"/>
          <w:sz w:val="32"/>
          <w:szCs w:val="32"/>
        </w:rPr>
        <w:t>101601老龄卫生健康事务科目支出3.96万元，占</w:t>
      </w:r>
      <w:r>
        <w:rPr>
          <w:rFonts w:hint="eastAsia" w:ascii="宋体" w:hAnsi="宋体" w:eastAsia="仿宋_GB2312" w:cs="Times New Roman"/>
          <w:sz w:val="32"/>
          <w:szCs w:val="32"/>
          <w:lang w:val="en-US" w:eastAsia="zh-CN"/>
        </w:rPr>
        <w:t>0.02</w:t>
      </w:r>
      <w:r>
        <w:rPr>
          <w:rFonts w:hint="eastAsia" w:ascii="宋体" w:hAnsi="宋体" w:eastAsia="仿宋_GB2312" w:cs="Times New Roman"/>
          <w:sz w:val="32"/>
          <w:szCs w:val="32"/>
        </w:rPr>
        <w:t>%；2109999其他卫生健康支出科目支出276.53万元，占</w:t>
      </w:r>
      <w:r>
        <w:rPr>
          <w:rFonts w:hint="eastAsia" w:ascii="宋体" w:hAnsi="宋体" w:eastAsia="仿宋_GB2312" w:cs="Times New Roman"/>
          <w:sz w:val="32"/>
          <w:szCs w:val="32"/>
          <w:lang w:val="en-US" w:eastAsia="zh-CN"/>
        </w:rPr>
        <w:t>1.25</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highlight w:val="none"/>
        </w:rPr>
      </w:pPr>
      <w:r>
        <w:rPr>
          <w:rFonts w:hint="eastAsia" w:ascii="宋体" w:hAnsi="宋体" w:eastAsia="仿宋_GB2312" w:cs="Times New Roman"/>
          <w:sz w:val="32"/>
          <w:szCs w:val="32"/>
          <w:highlight w:val="none"/>
          <w:lang w:eastAsia="zh-CN"/>
        </w:rPr>
        <w:t>2</w:t>
      </w:r>
      <w:r>
        <w:rPr>
          <w:rFonts w:hint="eastAsia" w:ascii="宋体" w:hAnsi="宋体" w:eastAsia="仿宋_GB2312" w:cs="Times New Roman"/>
          <w:sz w:val="32"/>
          <w:szCs w:val="32"/>
          <w:highlight w:val="none"/>
          <w:lang w:eastAsia="zh-CN"/>
        </w:rPr>
        <w:t>021</w:t>
      </w:r>
      <w:r>
        <w:rPr>
          <w:rFonts w:hint="eastAsia" w:ascii="宋体" w:hAnsi="宋体" w:eastAsia="仿宋_GB2312" w:cs="Times New Roman"/>
          <w:sz w:val="32"/>
          <w:szCs w:val="32"/>
          <w:highlight w:val="none"/>
        </w:rPr>
        <w:t>年度一般公共预算财政拨款支出当年调整预算数</w:t>
      </w:r>
      <w:r>
        <w:rPr>
          <w:rFonts w:hint="eastAsia" w:ascii="宋体" w:hAnsi="宋体" w:eastAsia="仿宋_GB2312" w:cs="Times New Roman"/>
          <w:sz w:val="32"/>
          <w:szCs w:val="32"/>
          <w:highlight w:val="none"/>
          <w:lang w:val="en-US" w:eastAsia="zh-CN"/>
        </w:rPr>
        <w:t>22111.15</w:t>
      </w:r>
      <w:r>
        <w:rPr>
          <w:rFonts w:hint="eastAsia" w:ascii="宋体" w:hAnsi="宋体" w:eastAsia="仿宋_GB2312" w:cs="Times New Roman"/>
          <w:sz w:val="32"/>
          <w:szCs w:val="32"/>
          <w:highlight w:val="none"/>
        </w:rPr>
        <w:t>万元，支出决算为</w:t>
      </w:r>
      <w:r>
        <w:rPr>
          <w:rFonts w:hint="eastAsia" w:ascii="宋体" w:hAnsi="宋体" w:eastAsia="仿宋_GB2312" w:cs="Times New Roman"/>
          <w:sz w:val="32"/>
          <w:szCs w:val="32"/>
          <w:highlight w:val="none"/>
          <w:lang w:val="en-US" w:eastAsia="zh-CN"/>
        </w:rPr>
        <w:t>22095.74</w:t>
      </w:r>
      <w:r>
        <w:rPr>
          <w:rFonts w:hint="eastAsia" w:ascii="宋体" w:hAnsi="宋体" w:eastAsia="仿宋_GB2312" w:cs="Times New Roman"/>
          <w:sz w:val="32"/>
          <w:szCs w:val="32"/>
          <w:highlight w:val="none"/>
        </w:rPr>
        <w:t>万元，完成当年调整预算的</w:t>
      </w:r>
      <w:r>
        <w:rPr>
          <w:rFonts w:hint="eastAsia" w:ascii="宋体" w:hAnsi="宋体" w:eastAsia="仿宋_GB2312" w:cs="Times New Roman"/>
          <w:sz w:val="32"/>
          <w:szCs w:val="32"/>
          <w:highlight w:val="none"/>
          <w:lang w:val="en-US" w:eastAsia="zh-CN"/>
        </w:rPr>
        <w:t>99.93</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年末结转资金15.41万元。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rPr>
        <w:t>8303.91</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8241.2</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7923.78</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317.42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62.71</w:t>
      </w:r>
      <w:r>
        <w:rPr>
          <w:rFonts w:hint="eastAsia" w:ascii="宋体" w:hAnsi="宋体" w:eastAsia="仿宋_GB2312" w:cs="Times New Roman"/>
          <w:sz w:val="32"/>
          <w:szCs w:val="32"/>
        </w:rPr>
        <w:t>万元，主要包括商品和服务支出62.71万元和资本性支出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5.89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5.69</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lang w:eastAsia="zh-CN"/>
        </w:rPr>
        <w:t>与同年预算相比</w:t>
      </w:r>
      <w:r>
        <w:rPr>
          <w:rFonts w:hint="eastAsia" w:ascii="宋体" w:hAnsi="宋体" w:eastAsia="仿宋_GB2312" w:cs="Times New Roman"/>
          <w:sz w:val="32"/>
          <w:szCs w:val="32"/>
          <w:highlight w:val="none"/>
          <w:lang w:val="en-US" w:eastAsia="zh-CN"/>
        </w:rPr>
        <w:t>减少0.2万元</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rPr>
        <w:t>比</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年</w:t>
      </w:r>
      <w:r>
        <w:rPr>
          <w:rFonts w:hint="eastAsia" w:ascii="宋体" w:hAnsi="宋体" w:eastAsia="仿宋_GB2312" w:cs="Times New Roman"/>
          <w:sz w:val="32"/>
          <w:szCs w:val="32"/>
          <w:highlight w:val="none"/>
          <w:lang w:eastAsia="zh-CN"/>
        </w:rPr>
        <w:t>决算数</w:t>
      </w:r>
      <w:r>
        <w:rPr>
          <w:rFonts w:hint="eastAsia" w:ascii="仿宋" w:hAnsi="仿宋" w:eastAsia="仿宋" w:cs="仿宋"/>
          <w:spacing w:val="4"/>
          <w:sz w:val="32"/>
          <w:szCs w:val="32"/>
          <w:highlight w:val="none"/>
        </w:rPr>
        <w:t>减少</w:t>
      </w:r>
      <w:r>
        <w:rPr>
          <w:rFonts w:hint="eastAsia" w:ascii="仿宋" w:hAnsi="仿宋" w:eastAsia="仿宋" w:cs="仿宋"/>
          <w:spacing w:val="4"/>
          <w:sz w:val="32"/>
          <w:szCs w:val="32"/>
          <w:highlight w:val="none"/>
          <w:lang w:val="en-US" w:eastAsia="zh-CN"/>
        </w:rPr>
        <w:t>2.14</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0"/>
          <w:szCs w:val="30"/>
          <w:highlight w:val="none"/>
        </w:rPr>
        <w:t>其中：公务用车运行维护费</w:t>
      </w:r>
      <w:r>
        <w:rPr>
          <w:rFonts w:hint="eastAsia" w:ascii="仿宋" w:hAnsi="仿宋" w:eastAsia="仿宋" w:cs="仿宋"/>
          <w:spacing w:val="4"/>
          <w:sz w:val="32"/>
          <w:szCs w:val="32"/>
          <w:highlight w:val="none"/>
          <w:lang w:val="en-US" w:eastAsia="zh-CN"/>
        </w:rPr>
        <w:t>5.69</w:t>
      </w:r>
      <w:r>
        <w:rPr>
          <w:rFonts w:hint="eastAsia" w:ascii="宋体" w:hAnsi="宋体" w:eastAsia="仿宋_GB2312" w:cs="Times New Roman"/>
          <w:sz w:val="30"/>
          <w:szCs w:val="30"/>
          <w:highlight w:val="none"/>
        </w:rPr>
        <w:t>万元，比上年减少</w:t>
      </w:r>
      <w:r>
        <w:rPr>
          <w:rFonts w:hint="eastAsia" w:ascii="仿宋" w:hAnsi="仿宋" w:eastAsia="仿宋" w:cs="仿宋"/>
          <w:spacing w:val="4"/>
          <w:sz w:val="30"/>
          <w:szCs w:val="30"/>
          <w:highlight w:val="none"/>
          <w:lang w:val="en-US" w:eastAsia="zh-CN"/>
        </w:rPr>
        <w:t>2.14</w:t>
      </w:r>
      <w:r>
        <w:rPr>
          <w:rFonts w:hint="eastAsia" w:ascii="宋体" w:hAnsi="宋体" w:eastAsia="仿宋_GB2312" w:cs="Times New Roman"/>
          <w:sz w:val="30"/>
          <w:szCs w:val="30"/>
          <w:highlight w:val="none"/>
        </w:rPr>
        <w:t>万元，原因是</w:t>
      </w:r>
      <w:r>
        <w:rPr>
          <w:rFonts w:hint="eastAsia" w:ascii="宋体" w:hAnsi="宋体" w:eastAsia="仿宋_GB2312" w:cs="Times New Roman"/>
          <w:sz w:val="30"/>
          <w:szCs w:val="30"/>
          <w:highlight w:val="none"/>
          <w:lang w:val="en-US" w:eastAsia="zh-CN"/>
        </w:rPr>
        <w:t>各预算单位</w:t>
      </w:r>
      <w:r>
        <w:rPr>
          <w:rFonts w:hint="eastAsia" w:ascii="宋体" w:hAnsi="宋体" w:eastAsia="仿宋_GB2312" w:cs="Times New Roman"/>
          <w:sz w:val="30"/>
          <w:szCs w:val="30"/>
          <w:highlight w:val="none"/>
        </w:rPr>
        <w:t>厉行勤俭节约，压缩支出。</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年政府性基金预算财政拨款本年收入5109.63万元，本年支出5124.63万元。具体支出情况如下:</w:t>
      </w:r>
    </w:p>
    <w:p>
      <w:pPr>
        <w:ind w:firstLine="600" w:firstLineChars="200"/>
        <w:rPr>
          <w:rFonts w:hint="eastAsia" w:ascii="宋体" w:hAnsi="宋体" w:eastAsia="仿宋_GB2312" w:cs="Times New Roman"/>
          <w:sz w:val="32"/>
          <w:szCs w:val="32"/>
          <w:highlight w:val="none"/>
        </w:rPr>
      </w:pPr>
      <w:r>
        <w:rPr>
          <w:rFonts w:hint="eastAsia" w:ascii="宋体" w:hAnsi="宋体" w:eastAsia="仿宋_GB2312" w:cs="Times New Roman"/>
          <w:sz w:val="30"/>
          <w:szCs w:val="30"/>
        </w:rPr>
        <w:t>229其他支出</w:t>
      </w:r>
      <w:r>
        <w:rPr>
          <w:rFonts w:hint="eastAsia" w:ascii="宋体" w:hAnsi="宋体" w:eastAsia="仿宋_GB2312" w:cs="Times New Roman"/>
          <w:sz w:val="32"/>
          <w:szCs w:val="32"/>
        </w:rPr>
        <w:t>科目(类)22904其他政府性基金及对应专项债务收入安排的科目(款)2290402其他地方自行试点项目收益专项债券收入安排的支出(项)财政拨款支出4975.43万元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highlight w:val="none"/>
        </w:rPr>
        <w:t>主要是用于</w:t>
      </w:r>
      <w:r>
        <w:rPr>
          <w:rFonts w:hint="eastAsia" w:ascii="宋体" w:hAnsi="宋体" w:eastAsia="仿宋_GB2312" w:cs="Times New Roman"/>
          <w:sz w:val="32"/>
          <w:szCs w:val="32"/>
          <w:highlight w:val="none"/>
          <w:lang w:val="en-US" w:eastAsia="zh-CN"/>
        </w:rPr>
        <w:t>朔城区人民医院门诊住院楼改扩建工程建设支出。</w:t>
      </w:r>
    </w:p>
    <w:p>
      <w:pPr>
        <w:ind w:firstLine="600" w:firstLineChars="200"/>
        <w:rPr>
          <w:rFonts w:hint="eastAsia" w:ascii="宋体" w:hAnsi="宋体" w:eastAsia="仿宋_GB2312" w:cs="Times New Roman"/>
          <w:sz w:val="32"/>
          <w:szCs w:val="32"/>
          <w:highlight w:val="none"/>
        </w:rPr>
      </w:pPr>
      <w:r>
        <w:rPr>
          <w:rFonts w:hint="eastAsia" w:ascii="宋体" w:hAnsi="宋体" w:eastAsia="仿宋_GB2312" w:cs="Times New Roman"/>
          <w:sz w:val="30"/>
          <w:szCs w:val="30"/>
        </w:rPr>
        <w:t>229其他支出</w:t>
      </w:r>
      <w:r>
        <w:rPr>
          <w:rFonts w:hint="eastAsia" w:ascii="宋体" w:hAnsi="宋体" w:eastAsia="仿宋_GB2312" w:cs="Times New Roman"/>
          <w:sz w:val="32"/>
          <w:szCs w:val="32"/>
        </w:rPr>
        <w:t>科目(类)22960科目彩票公益金安排的支出科目(款)2296003用于体育事业的彩票公益金支出(项)财政拨款支出134.2万元，</w:t>
      </w:r>
      <w:r>
        <w:rPr>
          <w:rFonts w:hint="eastAsia" w:ascii="宋体" w:hAnsi="宋体" w:eastAsia="仿宋_GB2312" w:cs="Times New Roman"/>
          <w:sz w:val="32"/>
          <w:szCs w:val="32"/>
          <w:highlight w:val="none"/>
        </w:rPr>
        <w:t>主要是用于</w:t>
      </w:r>
      <w:r>
        <w:rPr>
          <w:rFonts w:hint="eastAsia" w:ascii="宋体" w:hAnsi="宋体" w:eastAsia="仿宋_GB2312" w:cs="Times New Roman"/>
          <w:sz w:val="32"/>
          <w:szCs w:val="32"/>
          <w:highlight w:val="none"/>
          <w:lang w:val="en-US" w:eastAsia="zh-CN"/>
        </w:rPr>
        <w:t>承办省运会国际跤冠军赛及维修篮球场地、购买全民健身设施</w:t>
      </w:r>
      <w:r>
        <w:rPr>
          <w:rFonts w:hint="eastAsia" w:ascii="宋体" w:hAnsi="宋体" w:eastAsia="仿宋_GB2312" w:cs="Times New Roman"/>
          <w:sz w:val="32"/>
          <w:szCs w:val="32"/>
          <w:highlight w:val="none"/>
        </w:rPr>
        <w:t>。</w:t>
      </w:r>
    </w:p>
    <w:p>
      <w:pPr>
        <w:ind w:firstLine="640" w:firstLineChars="200"/>
        <w:rPr>
          <w:rFonts w:ascii="宋体" w:hAnsi="宋体" w:eastAsia="仿宋_GB2312" w:cs="Times New Roman"/>
          <w:sz w:val="32"/>
          <w:szCs w:val="32"/>
          <w:highlight w:val="yellow"/>
        </w:rPr>
      </w:pPr>
      <w:r>
        <w:rPr>
          <w:rFonts w:hint="eastAsia" w:ascii="宋体" w:hAnsi="宋体" w:eastAsia="仿宋_GB2312" w:cs="Times New Roman"/>
          <w:sz w:val="32"/>
          <w:szCs w:val="32"/>
          <w:highlight w:val="none"/>
        </w:rPr>
        <w:t>234抗疫特别国债安排的支出</w:t>
      </w:r>
      <w:r>
        <w:rPr>
          <w:rFonts w:hint="eastAsia" w:ascii="宋体" w:hAnsi="宋体" w:eastAsia="仿宋_GB2312" w:cs="Times New Roman"/>
          <w:sz w:val="32"/>
          <w:szCs w:val="32"/>
        </w:rPr>
        <w:t>科目(类)23402抗疫相关支出科目(款)2340299其他抗疫相关支出(项)财政拨款支出15万元</w:t>
      </w:r>
      <w:r>
        <w:rPr>
          <w:rFonts w:hint="eastAsia" w:ascii="宋体" w:hAnsi="宋体" w:eastAsia="仿宋_GB2312" w:cs="Times New Roman"/>
          <w:sz w:val="32"/>
          <w:szCs w:val="32"/>
          <w:highlight w:val="none"/>
        </w:rPr>
        <w:t>。主要是用于</w:t>
      </w:r>
      <w:r>
        <w:rPr>
          <w:rFonts w:hint="eastAsia" w:ascii="宋体" w:hAnsi="宋体" w:eastAsia="仿宋_GB2312" w:cs="Times New Roman"/>
          <w:sz w:val="32"/>
          <w:szCs w:val="32"/>
          <w:highlight w:val="none"/>
          <w:lang w:val="en-US" w:eastAsia="zh-CN"/>
        </w:rPr>
        <w:t>朔城区人民医院新型冠状病毒肺炎疫情防控一线抗疫人员补助。</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单位机关运行经费支出10.78万元，比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highlight w:val="none"/>
          <w:lang w:val="en-US" w:eastAsia="zh-CN"/>
        </w:rPr>
        <w:t>25.67</w:t>
      </w:r>
      <w:r>
        <w:rPr>
          <w:rFonts w:hint="eastAsia" w:ascii="宋体" w:hAnsi="宋体" w:eastAsia="仿宋_GB2312" w:cs="Times New Roman"/>
          <w:sz w:val="32"/>
          <w:szCs w:val="32"/>
          <w:highlight w:val="none"/>
        </w:rPr>
        <w:t>万元，降低</w:t>
      </w:r>
      <w:r>
        <w:rPr>
          <w:rFonts w:hint="eastAsia" w:ascii="宋体" w:hAnsi="宋体" w:eastAsia="仿宋_GB2312" w:cs="Times New Roman"/>
          <w:sz w:val="32"/>
          <w:szCs w:val="32"/>
          <w:highlight w:val="none"/>
          <w:lang w:val="en-US" w:eastAsia="zh-CN"/>
        </w:rPr>
        <w:t>70.43</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val="en-US" w:eastAsia="zh-CN"/>
        </w:rPr>
        <w:t>2020年列支2019年单位公用取暖费（包含朔城区妇幼保健院）</w:t>
      </w:r>
      <w:r>
        <w:rPr>
          <w:rFonts w:hint="eastAsia" w:ascii="宋体" w:hAnsi="宋体" w:eastAsia="仿宋_GB2312" w:cs="Times New Roman"/>
          <w:sz w:val="32"/>
          <w:szCs w:val="32"/>
          <w:highlight w:val="none"/>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rPr>
        <w:t>1221.57</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439.54</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万元、政府采购服务782.03万元。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31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10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17</w:t>
      </w:r>
      <w:r>
        <w:rPr>
          <w:rFonts w:hint="eastAsia" w:ascii="宋体" w:hAnsi="宋体" w:eastAsia="仿宋_GB2312" w:cs="Times New Roman"/>
          <w:sz w:val="32"/>
          <w:szCs w:val="32"/>
        </w:rPr>
        <w:t>辆</w:t>
      </w:r>
      <w:r>
        <w:rPr>
          <w:rFonts w:hint="eastAsia" w:ascii="宋体" w:hAnsi="宋体" w:eastAsia="仿宋_GB2312" w:cs="Times New Roman"/>
          <w:sz w:val="30"/>
          <w:szCs w:val="30"/>
        </w:rPr>
        <w:t>（其中2年处置待批中）</w:t>
      </w:r>
      <w:r>
        <w:rPr>
          <w:rFonts w:hint="eastAsia" w:ascii="宋体" w:hAnsi="宋体" w:eastAsia="仿宋_GB2312" w:cs="Times New Roman"/>
          <w:sz w:val="30"/>
          <w:szCs w:val="30"/>
          <w:lang w:eastAsia="zh-CN"/>
        </w:rPr>
        <w:t>，</w:t>
      </w:r>
      <w:r>
        <w:rPr>
          <w:rFonts w:hint="eastAsia" w:ascii="宋体" w:hAnsi="宋体" w:eastAsia="仿宋_GB2312" w:cs="Times New Roman"/>
          <w:sz w:val="32"/>
          <w:szCs w:val="32"/>
        </w:rPr>
        <w:t>单价50万元（含）以上的通用设备</w:t>
      </w:r>
      <w:r>
        <w:rPr>
          <w:rFonts w:hint="eastAsia" w:ascii="宋体" w:hAnsi="宋体" w:eastAsia="仿宋_GB2312" w:cs="Times New Roman"/>
          <w:sz w:val="32"/>
          <w:szCs w:val="32"/>
          <w:lang w:val="en-US" w:eastAsia="zh-CN"/>
        </w:rPr>
        <w:t>32</w:t>
      </w:r>
      <w:r>
        <w:rPr>
          <w:rFonts w:hint="eastAsia" w:ascii="宋体" w:hAnsi="宋体" w:eastAsia="仿宋_GB2312" w:cs="Times New Roman"/>
          <w:sz w:val="32"/>
          <w:szCs w:val="32"/>
        </w:rPr>
        <w:t>台（套），单价100万元（含）以上专用设备</w:t>
      </w:r>
      <w:r>
        <w:rPr>
          <w:rFonts w:hint="eastAsia" w:ascii="宋体" w:hAnsi="宋体" w:eastAsia="仿宋_GB2312" w:cs="Times New Roman"/>
          <w:sz w:val="32"/>
          <w:szCs w:val="32"/>
          <w:lang w:val="en-US" w:eastAsia="zh-CN"/>
        </w:rPr>
        <w:t>40</w:t>
      </w:r>
      <w:r>
        <w:rPr>
          <w:rFonts w:hint="eastAsia" w:ascii="宋体" w:hAnsi="宋体" w:eastAsia="仿宋_GB2312" w:cs="Times New Roman"/>
          <w:sz w:val="32"/>
          <w:szCs w:val="32"/>
        </w:rPr>
        <w:t>台（套）。</w:t>
      </w:r>
    </w:p>
    <w:p>
      <w:pPr>
        <w:numPr>
          <w:ilvl w:val="0"/>
          <w:numId w:val="4"/>
        </w:numPr>
        <w:tabs>
          <w:tab w:val="left" w:pos="312"/>
        </w:tabs>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hint="eastAsia" w:ascii="宋体" w:hAnsi="宋体" w:eastAsia="仿宋_GB2312" w:cs="Times New Roman"/>
          <w:sz w:val="32"/>
          <w:szCs w:val="32"/>
          <w:lang w:eastAsia="zh-CN"/>
        </w:rPr>
      </w:pPr>
      <w:r>
        <w:rPr>
          <w:rFonts w:hint="eastAsia" w:ascii="宋体" w:hAnsi="宋体" w:eastAsia="仿宋_GB2312" w:cs="Times New Roman"/>
          <w:sz w:val="32"/>
          <w:szCs w:val="32"/>
        </w:rPr>
        <w:t>(1)项目绩效评价工作开展情况</w:t>
      </w:r>
      <w:r>
        <w:rPr>
          <w:rFonts w:hint="eastAsia" w:ascii="宋体" w:hAnsi="宋体" w:eastAsia="仿宋_GB2312" w:cs="Times New Roman"/>
          <w:sz w:val="32"/>
          <w:szCs w:val="32"/>
          <w:lang w:eastAsia="zh-CN"/>
        </w:rPr>
        <w:t>。</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r>
        <w:rPr>
          <w:rFonts w:hint="eastAsia" w:ascii="宋体" w:hAnsi="宋体" w:eastAsia="仿宋_GB2312" w:cs="Times New Roman"/>
          <w:sz w:val="32"/>
          <w:szCs w:val="32"/>
          <w:lang w:eastAsia="zh-CN"/>
        </w:rPr>
        <w:t>。</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769.79</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lang w:val="en-US" w:eastAsia="zh-CN"/>
        </w:rPr>
        <w:t>建设朔城区医疗集团25家成员单位、村卫生室、社区卫生服务站和妇幼保健院信息系统，实现基层医疗机构信息化，建设区域检验平台与区域电子病历，依托区域人口健康信息平台。实现业务互联互通，满足广大居民就诊需求。</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Pr/>
    </w:p>
    <w:p>
      <w:pPr/>
    </w:p>
    <w:sectPr>
      <w:pgSz w:w="11906" w:h="16838"/>
      <w:pgMar w:top="1440" w:right="1803" w:bottom="127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2731944">
    <w:nsid w:val="0CAE0828"/>
    <w:multiLevelType w:val="singleLevel"/>
    <w:tmpl w:val="0CAE0828"/>
    <w:lvl w:ilvl="0" w:tentative="1">
      <w:start w:val="8"/>
      <w:numFmt w:val="chineseCounting"/>
      <w:suff w:val="nothing"/>
      <w:lvlText w:val="%1、"/>
      <w:lvlJc w:val="left"/>
      <w:rPr>
        <w:rFonts w:hint="eastAsia"/>
      </w:rPr>
    </w:lvl>
  </w:abstractNum>
  <w:abstractNum w:abstractNumId="852307477">
    <w:nsid w:val="32CD2E15"/>
    <w:multiLevelType w:val="singleLevel"/>
    <w:tmpl w:val="32CD2E15"/>
    <w:lvl w:ilvl="0" w:tentative="1">
      <w:start w:val="1"/>
      <w:numFmt w:val="chineseCounting"/>
      <w:suff w:val="nothing"/>
      <w:lvlText w:val="（%1）"/>
      <w:lvlJc w:val="left"/>
      <w:rPr>
        <w:rFonts w:hint="eastAsia"/>
      </w:rPr>
    </w:lvl>
  </w:abstractNum>
  <w:abstractNum w:abstractNumId="1794424678">
    <w:nsid w:val="6AF4BF66"/>
    <w:multiLevelType w:val="singleLevel"/>
    <w:tmpl w:val="6AF4BF66"/>
    <w:lvl w:ilvl="0" w:tentative="1">
      <w:start w:val="1"/>
      <w:numFmt w:val="chineseCounting"/>
      <w:suff w:val="nothing"/>
      <w:lvlText w:val="%1、"/>
      <w:lvlJc w:val="left"/>
      <w:rPr>
        <w:rFonts w:hint="eastAsia"/>
      </w:rPr>
    </w:lvl>
  </w:abstractNum>
  <w:abstractNum w:abstractNumId="1085732865">
    <w:nsid w:val="40B6F801"/>
    <w:multiLevelType w:val="singleLevel"/>
    <w:tmpl w:val="40B6F801"/>
    <w:lvl w:ilvl="0" w:tentative="1">
      <w:start w:val="4"/>
      <w:numFmt w:val="decimal"/>
      <w:lvlText w:val="%1."/>
      <w:lvlJc w:val="left"/>
      <w:pPr>
        <w:tabs>
          <w:tab w:val="left" w:pos="312"/>
        </w:tabs>
      </w:pPr>
    </w:lvl>
  </w:abstractNum>
  <w:num w:numId="1">
    <w:abstractNumId w:val="852307477"/>
  </w:num>
  <w:num w:numId="2">
    <w:abstractNumId w:val="1794424678"/>
  </w:num>
  <w:num w:numId="3">
    <w:abstractNumId w:val="212731944"/>
  </w:num>
  <w:num w:numId="4">
    <w:abstractNumId w:val="10857328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N2RmYjUyMzhkYzU2ZWVhOTllNmYyNDUyM2JiOGMifQ=="/>
  </w:docVars>
  <w:rsids>
    <w:rsidRoot w:val="7E3F0B7D"/>
    <w:rsid w:val="000014A7"/>
    <w:rsid w:val="00052B5B"/>
    <w:rsid w:val="00774AFB"/>
    <w:rsid w:val="00B505BA"/>
    <w:rsid w:val="00E4217F"/>
    <w:rsid w:val="014E20E6"/>
    <w:rsid w:val="01AC1A83"/>
    <w:rsid w:val="01BF7824"/>
    <w:rsid w:val="021C29C7"/>
    <w:rsid w:val="028F06AB"/>
    <w:rsid w:val="0415568B"/>
    <w:rsid w:val="04E04873"/>
    <w:rsid w:val="06471C23"/>
    <w:rsid w:val="07044839"/>
    <w:rsid w:val="077356E5"/>
    <w:rsid w:val="08005373"/>
    <w:rsid w:val="08527FD0"/>
    <w:rsid w:val="08FC0E5C"/>
    <w:rsid w:val="09055BE8"/>
    <w:rsid w:val="0A7749D7"/>
    <w:rsid w:val="0A9C65DA"/>
    <w:rsid w:val="0AC94322"/>
    <w:rsid w:val="0B7A571E"/>
    <w:rsid w:val="0BDC6BDE"/>
    <w:rsid w:val="0C0C4827"/>
    <w:rsid w:val="0C3B3645"/>
    <w:rsid w:val="0C6F1945"/>
    <w:rsid w:val="0D7642B0"/>
    <w:rsid w:val="0DB6186B"/>
    <w:rsid w:val="0DBD43EC"/>
    <w:rsid w:val="0E115DFD"/>
    <w:rsid w:val="0FA07629"/>
    <w:rsid w:val="0FE96226"/>
    <w:rsid w:val="107B6CE8"/>
    <w:rsid w:val="11B86D77"/>
    <w:rsid w:val="11D27EAE"/>
    <w:rsid w:val="11F6611E"/>
    <w:rsid w:val="12B427A8"/>
    <w:rsid w:val="12C81DAF"/>
    <w:rsid w:val="130402B1"/>
    <w:rsid w:val="13355F67"/>
    <w:rsid w:val="13375C4B"/>
    <w:rsid w:val="135F3A79"/>
    <w:rsid w:val="13DF5603"/>
    <w:rsid w:val="14415BA0"/>
    <w:rsid w:val="14655915"/>
    <w:rsid w:val="14720EC8"/>
    <w:rsid w:val="149C4D8A"/>
    <w:rsid w:val="14C60571"/>
    <w:rsid w:val="15E262C9"/>
    <w:rsid w:val="16323E9D"/>
    <w:rsid w:val="172832A5"/>
    <w:rsid w:val="18A64941"/>
    <w:rsid w:val="18AF5B6F"/>
    <w:rsid w:val="195513CF"/>
    <w:rsid w:val="1A75281D"/>
    <w:rsid w:val="1AD12036"/>
    <w:rsid w:val="1B096B75"/>
    <w:rsid w:val="1B3E1837"/>
    <w:rsid w:val="1E2F4DD1"/>
    <w:rsid w:val="1E8E1DA1"/>
    <w:rsid w:val="1FC31347"/>
    <w:rsid w:val="20D97C1B"/>
    <w:rsid w:val="22CA56D0"/>
    <w:rsid w:val="22FF1A2B"/>
    <w:rsid w:val="23134FA2"/>
    <w:rsid w:val="23553F43"/>
    <w:rsid w:val="25976B9D"/>
    <w:rsid w:val="28625A0D"/>
    <w:rsid w:val="299664C8"/>
    <w:rsid w:val="2A07184A"/>
    <w:rsid w:val="2B3775B1"/>
    <w:rsid w:val="2B74267D"/>
    <w:rsid w:val="2BBF2647"/>
    <w:rsid w:val="2C9C2B42"/>
    <w:rsid w:val="2D0C712F"/>
    <w:rsid w:val="2D6D03BC"/>
    <w:rsid w:val="2D6F75A0"/>
    <w:rsid w:val="2E431488"/>
    <w:rsid w:val="2F523552"/>
    <w:rsid w:val="2FAF469C"/>
    <w:rsid w:val="2FE90569"/>
    <w:rsid w:val="302F17A2"/>
    <w:rsid w:val="3078576C"/>
    <w:rsid w:val="30E8257D"/>
    <w:rsid w:val="31321B76"/>
    <w:rsid w:val="31BB4950"/>
    <w:rsid w:val="31D557C4"/>
    <w:rsid w:val="31EF2884"/>
    <w:rsid w:val="323710C7"/>
    <w:rsid w:val="34806536"/>
    <w:rsid w:val="35D22DC1"/>
    <w:rsid w:val="36AE3ECB"/>
    <w:rsid w:val="36CF10AF"/>
    <w:rsid w:val="36EF153D"/>
    <w:rsid w:val="370F6686"/>
    <w:rsid w:val="382468EB"/>
    <w:rsid w:val="3BBA45CF"/>
    <w:rsid w:val="3C3311E2"/>
    <w:rsid w:val="3D167A38"/>
    <w:rsid w:val="3D6C073E"/>
    <w:rsid w:val="3EA65107"/>
    <w:rsid w:val="3EC62D97"/>
    <w:rsid w:val="3F28132A"/>
    <w:rsid w:val="3F2F3FAD"/>
    <w:rsid w:val="3F4B53BE"/>
    <w:rsid w:val="3FFD507E"/>
    <w:rsid w:val="40BD490B"/>
    <w:rsid w:val="40CB183E"/>
    <w:rsid w:val="4182391A"/>
    <w:rsid w:val="41B51FEA"/>
    <w:rsid w:val="41B64AD1"/>
    <w:rsid w:val="41C367A9"/>
    <w:rsid w:val="41D1643D"/>
    <w:rsid w:val="420910C3"/>
    <w:rsid w:val="431A6E85"/>
    <w:rsid w:val="431F2FB1"/>
    <w:rsid w:val="433C0DD2"/>
    <w:rsid w:val="442E1B0B"/>
    <w:rsid w:val="44F46870"/>
    <w:rsid w:val="455E363B"/>
    <w:rsid w:val="45717F01"/>
    <w:rsid w:val="461B7742"/>
    <w:rsid w:val="46367AF1"/>
    <w:rsid w:val="46AD300C"/>
    <w:rsid w:val="472E18B7"/>
    <w:rsid w:val="47640C0B"/>
    <w:rsid w:val="49221B6F"/>
    <w:rsid w:val="498311D2"/>
    <w:rsid w:val="4A771279"/>
    <w:rsid w:val="4BA9009F"/>
    <w:rsid w:val="4C6F2385"/>
    <w:rsid w:val="4CD512D4"/>
    <w:rsid w:val="4CD57F1F"/>
    <w:rsid w:val="4CF04DAE"/>
    <w:rsid w:val="4E891312"/>
    <w:rsid w:val="4EE2777A"/>
    <w:rsid w:val="4EEC5046"/>
    <w:rsid w:val="4F836A0B"/>
    <w:rsid w:val="50934BCD"/>
    <w:rsid w:val="50F21916"/>
    <w:rsid w:val="52296E2F"/>
    <w:rsid w:val="522F6507"/>
    <w:rsid w:val="524D54CA"/>
    <w:rsid w:val="530C6B43"/>
    <w:rsid w:val="5336541A"/>
    <w:rsid w:val="535F37EB"/>
    <w:rsid w:val="56672AB8"/>
    <w:rsid w:val="56E0041C"/>
    <w:rsid w:val="57664784"/>
    <w:rsid w:val="589D755D"/>
    <w:rsid w:val="58B86015"/>
    <w:rsid w:val="592C3FB7"/>
    <w:rsid w:val="59352BE5"/>
    <w:rsid w:val="5B811F75"/>
    <w:rsid w:val="5B9A0FAF"/>
    <w:rsid w:val="5C2B5E26"/>
    <w:rsid w:val="5C864A33"/>
    <w:rsid w:val="5D7A3273"/>
    <w:rsid w:val="5E3A2B46"/>
    <w:rsid w:val="5E622841"/>
    <w:rsid w:val="5EC12BF8"/>
    <w:rsid w:val="5FE70421"/>
    <w:rsid w:val="60694930"/>
    <w:rsid w:val="60B847DE"/>
    <w:rsid w:val="620D6741"/>
    <w:rsid w:val="649C2D16"/>
    <w:rsid w:val="6544153D"/>
    <w:rsid w:val="66F44726"/>
    <w:rsid w:val="67A90CA2"/>
    <w:rsid w:val="68CD37BD"/>
    <w:rsid w:val="6A0B109D"/>
    <w:rsid w:val="6BC57D5F"/>
    <w:rsid w:val="6BDA1170"/>
    <w:rsid w:val="6C17473C"/>
    <w:rsid w:val="6C7217D4"/>
    <w:rsid w:val="6C940C35"/>
    <w:rsid w:val="6DA44B49"/>
    <w:rsid w:val="6DB602F7"/>
    <w:rsid w:val="6E5D72E6"/>
    <w:rsid w:val="6EB13F1A"/>
    <w:rsid w:val="6ED04219"/>
    <w:rsid w:val="6F28095F"/>
    <w:rsid w:val="6F5656A5"/>
    <w:rsid w:val="6F643E46"/>
    <w:rsid w:val="6FFA0652"/>
    <w:rsid w:val="700C5673"/>
    <w:rsid w:val="730A0E6D"/>
    <w:rsid w:val="73DE25B9"/>
    <w:rsid w:val="73F1316F"/>
    <w:rsid w:val="7528149D"/>
    <w:rsid w:val="773103DA"/>
    <w:rsid w:val="774E5C13"/>
    <w:rsid w:val="77884AB3"/>
    <w:rsid w:val="79026786"/>
    <w:rsid w:val="7AA80A81"/>
    <w:rsid w:val="7B164183"/>
    <w:rsid w:val="7BAE178C"/>
    <w:rsid w:val="7BB25888"/>
    <w:rsid w:val="7CFF6340"/>
    <w:rsid w:val="7E3F0B7D"/>
    <w:rsid w:val="7F0B3B5E"/>
    <w:rsid w:val="7FF41D4E"/>
    <w:rsid w:val="7FF46E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5217</Words>
  <Characters>6003</Characters>
  <Lines>5</Lines>
  <Paragraphs>7</Paragraphs>
  <ScaleCrop>false</ScaleCrop>
  <LinksUpToDate>false</LinksUpToDate>
  <CharactersWithSpaces>6063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DELL</cp:lastModifiedBy>
  <cp:lastPrinted>2021-10-28T11:45:00Z</cp:lastPrinted>
  <dcterms:modified xsi:type="dcterms:W3CDTF">2022-10-20T02:14:13Z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AE7D8953C63D4B80AB6B0EF1D6DAAF91</vt:lpwstr>
  </property>
</Properties>
</file>