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朔州市朔城区疾病预防控制中心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pStyle w:val="2"/>
        <w:numPr>
          <w:ilvl w:val="0"/>
          <w:numId w:val="0"/>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1、负责突发公共卫生事件应急处置、监测预警、疫情报告等，调查突发公共卫生事件的危险因素，实施控制措施；</w:t>
      </w:r>
    </w:p>
    <w:p>
      <w:pPr>
        <w:pStyle w:val="2"/>
        <w:numPr>
          <w:ilvl w:val="0"/>
          <w:numId w:val="0"/>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2、负责疫情及健康相关因素信息管理、健康危害因素监测与干预、实验室检测分析与评价、健康教育与健康促进、技术管理与应用研究指导；</w:t>
      </w:r>
    </w:p>
    <w:p>
      <w:pPr>
        <w:pStyle w:val="2"/>
        <w:numPr>
          <w:ilvl w:val="0"/>
          <w:numId w:val="0"/>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3、负责完成上级交办的重大疾病预防控制任务，实施疾病预防控制规划、方案，组织开展本地疾病暴发调查处理和报告；</w:t>
      </w:r>
    </w:p>
    <w:p>
      <w:pPr>
        <w:pStyle w:val="2"/>
        <w:numPr>
          <w:ilvl w:val="0"/>
          <w:numId w:val="0"/>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4、开展疾病监测和食品卫生、职业卫生、放射卫生和环境卫生等领域健康危害因素监测，管理辖区疫情及相关公共卫生信息；</w:t>
      </w:r>
    </w:p>
    <w:p>
      <w:pPr>
        <w:pStyle w:val="2"/>
        <w:numPr>
          <w:ilvl w:val="0"/>
          <w:numId w:val="0"/>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5、负责开展常见病原微生物检验检测和常见毒物、污染物等相关方面的检验鉴定；</w:t>
      </w:r>
    </w:p>
    <w:p>
      <w:pPr>
        <w:pStyle w:val="2"/>
        <w:numPr>
          <w:ilvl w:val="0"/>
          <w:numId w:val="0"/>
        </w:num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6、负责传染病、地方病、寄生虫、非传染性疾病等预防与控制，指导辖区内医疗卫生机构传染病防治工作。负责辖区内预防性生物制品使用管理，预防接种工作的技术指导等；</w:t>
      </w:r>
    </w:p>
    <w:p>
      <w:pPr>
        <w:ind w:firstLine="640" w:firstLineChars="200"/>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 xml:space="preserve">7、完成区委、区政府和区卫健体局交办的其他工作任务。                            </w:t>
      </w:r>
    </w:p>
    <w:p>
      <w:pPr>
        <w:numPr>
          <w:ilvl w:val="0"/>
          <w:numId w:val="1"/>
        </w:numPr>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部门机构设置</w:t>
      </w:r>
    </w:p>
    <w:p>
      <w:pPr>
        <w:spacing w:line="800" w:lineRule="exact"/>
        <w:ind w:firstLine="640" w:firstLineChars="200"/>
        <w:rPr>
          <w:rFonts w:hint="default"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本单位内设12个科室，分别是：1、办公室；2、免疫规划股；3、艾滋病防控股；4、结核病防控股；5、传染病防控和信息管理股；6、慢性病防控股；7、地方病防控股；8、职业病防控股；9、精神卫生防控股；10、食品安全防控股；11、应急办；12、检验股。</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我单位为二级单位无下属单位</w:t>
      </w: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我</w:t>
      </w:r>
      <w:r>
        <w:rPr>
          <w:rFonts w:hint="eastAsia" w:ascii="宋体" w:hAnsi="宋体" w:eastAsia="仿宋_GB2312" w:cs="Times New Roman"/>
          <w:sz w:val="32"/>
          <w:szCs w:val="32"/>
        </w:rPr>
        <w:t>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972.96</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972.96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503.52</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503.52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新冠核酸实验室建设及实验室配套设备采购费用减少，其他收入减少。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972.96</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969.67</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3.29</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972.96</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424.11</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548.85</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969.67</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969.67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487.43</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66.54</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新冠核酸实验室建设及实验室配套设备采购费用减少。</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969.67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sz w:val="32"/>
          <w:szCs w:val="32"/>
          <w:lang w:val="en-US" w:eastAsia="zh-CN"/>
        </w:rPr>
        <w:t>487.43</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新冠核酸实验室建设及实验室配套设备采购费用减少。</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969.67</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疾病预防控制机构</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879.57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90.7</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基本公共卫生服务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43.32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4.47</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重大公共卫生</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16.78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1.73</w:t>
      </w:r>
      <w:r>
        <w:rPr>
          <w:rFonts w:hint="eastAsia" w:ascii="宋体" w:hAnsi="宋体" w:eastAsia="仿宋_GB2312" w:cs="Times New Roman"/>
          <w:sz w:val="32"/>
          <w:szCs w:val="32"/>
        </w:rPr>
        <w:t>%；突发公共卫生事件应急处理支出</w:t>
      </w:r>
      <w:r>
        <w:rPr>
          <w:rFonts w:hint="eastAsia" w:ascii="宋体" w:hAnsi="宋体" w:eastAsia="仿宋_GB2312" w:cs="Times New Roman"/>
          <w:sz w:val="32"/>
          <w:szCs w:val="32"/>
          <w:lang w:val="en-US" w:eastAsia="zh-CN"/>
        </w:rPr>
        <w:t>30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3.1</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969.67</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969.67</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420.82</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403.14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384.96</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18.18</w:t>
      </w:r>
      <w:bookmarkStart w:id="22" w:name="_GoBack"/>
      <w:bookmarkEnd w:id="22"/>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17.68</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17.68</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2.8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与同年预算相比减少</w:t>
      </w:r>
      <w:r>
        <w:rPr>
          <w:rFonts w:hint="eastAsia" w:ascii="宋体" w:hAnsi="宋体" w:eastAsia="仿宋_GB2312" w:cs="Times New Roman"/>
          <w:sz w:val="32"/>
          <w:szCs w:val="32"/>
          <w:lang w:val="en-US" w:eastAsia="zh-CN"/>
        </w:rPr>
        <w:t>0.2万元，原因是有报废处置车辆一辆</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宋体" w:hAnsi="宋体" w:eastAsia="仿宋_GB2312" w:cs="Times New Roman"/>
          <w:sz w:val="32"/>
          <w:szCs w:val="32"/>
          <w:lang w:val="en-US" w:eastAsia="zh-CN"/>
        </w:rPr>
        <w:t>0.67</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新冠疫苗运输车次增加</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万元，；公务用车运行维护费</w:t>
      </w:r>
      <w:r>
        <w:rPr>
          <w:rFonts w:hint="eastAsia" w:ascii="仿宋" w:hAnsi="仿宋" w:eastAsia="仿宋" w:cs="仿宋"/>
          <w:spacing w:val="4"/>
          <w:sz w:val="32"/>
          <w:szCs w:val="32"/>
          <w:lang w:val="en-US" w:eastAsia="zh-CN"/>
        </w:rPr>
        <w:t>2.8</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0.67</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新冠疫苗运输车次增加</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我单位2021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政府性基金预算财政拨款收入</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spacing w:line="204" w:lineRule="auto"/>
        <w:ind w:firstLine="640" w:firstLineChars="200"/>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我单位为事业单位无机关运行经费。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10.84</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10.84</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9</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548.85</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320" w:firstLineChars="100"/>
        <w:rPr>
          <w:rFonts w:hint="eastAsia"/>
          <w:sz w:val="30"/>
          <w:szCs w:val="30"/>
          <w:lang w:eastAsia="zh-CN"/>
        </w:rPr>
      </w:pPr>
      <w:r>
        <w:rPr>
          <w:rFonts w:hint="eastAsia" w:ascii="宋体" w:hAnsi="宋体" w:eastAsia="仿宋_GB2312" w:cs="Times New Roman"/>
          <w:sz w:val="32"/>
          <w:szCs w:val="32"/>
        </w:rPr>
        <w:t>本</w:t>
      </w:r>
      <w:r>
        <w:rPr>
          <w:rFonts w:hint="eastAsia" w:ascii="宋体" w:hAnsi="宋体" w:eastAsia="仿宋_GB2312" w:cs="Times New Roman"/>
          <w:sz w:val="32"/>
          <w:szCs w:val="32"/>
          <w:lang w:eastAsia="zh-CN"/>
        </w:rPr>
        <w:t>单位</w:t>
      </w:r>
      <w:r>
        <w:rPr>
          <w:rFonts w:hint="eastAsia" w:ascii="宋体" w:hAnsi="宋体" w:eastAsia="仿宋_GB2312" w:cs="Times New Roman"/>
          <w:sz w:val="32"/>
          <w:szCs w:val="32"/>
        </w:rPr>
        <w:t>对202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年一般公共预算项目开展了绩效目标管理，项目资金分别用于结核病、艾滋病、慢性病、精神病</w:t>
      </w:r>
      <w:r>
        <w:rPr>
          <w:rFonts w:hint="eastAsia" w:ascii="宋体" w:hAnsi="宋体" w:eastAsia="仿宋_GB2312" w:cs="Times New Roman"/>
          <w:sz w:val="32"/>
          <w:szCs w:val="32"/>
          <w:lang w:eastAsia="zh-CN"/>
        </w:rPr>
        <w:t>、新冠肺炎疫情防控</w:t>
      </w:r>
      <w:r>
        <w:rPr>
          <w:rFonts w:hint="eastAsia" w:ascii="宋体" w:hAnsi="宋体" w:eastAsia="仿宋_GB2312" w:cs="Times New Roman"/>
          <w:sz w:val="32"/>
          <w:szCs w:val="32"/>
        </w:rPr>
        <w:t>等公共卫生的预防和控制。通过开展这些工作，进一步推进疾控事业的发展，保障人民身体健康。收到社会效益</w:t>
      </w:r>
      <w:r>
        <w:rPr>
          <w:rFonts w:hint="eastAsia" w:ascii="宋体" w:hAnsi="宋体" w:eastAsia="仿宋_GB2312" w:cs="Times New Roman"/>
          <w:sz w:val="32"/>
          <w:szCs w:val="32"/>
          <w:lang w:eastAsia="zh-CN"/>
        </w:rPr>
        <w:t>。</w:t>
      </w:r>
    </w:p>
    <w:p>
      <w:pPr>
        <w:widowControl/>
        <w:ind w:firstLine="620" w:firstLineChars="200"/>
        <w:jc w:val="left"/>
        <w:rPr>
          <w:rFonts w:ascii="仿宋_GB2312" w:hAnsi="仿宋_GB2312" w:eastAsia="仿宋_GB2312" w:cs="仿宋_GB2312"/>
          <w:color w:val="000000"/>
          <w:kern w:val="0"/>
          <w:sz w:val="31"/>
          <w:szCs w:val="31"/>
        </w:rPr>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ZjE5ODJiMDNmMWNlNWNhYjRmZGQwODdmODNlMGIifQ=="/>
  </w:docVars>
  <w:rsids>
    <w:rsidRoot w:val="7E3F0B7D"/>
    <w:rsid w:val="000014A7"/>
    <w:rsid w:val="00052B5B"/>
    <w:rsid w:val="00774AFB"/>
    <w:rsid w:val="00E4217F"/>
    <w:rsid w:val="0E115DFD"/>
    <w:rsid w:val="11D27EAE"/>
    <w:rsid w:val="19374823"/>
    <w:rsid w:val="20D97C1B"/>
    <w:rsid w:val="23553F43"/>
    <w:rsid w:val="299664C8"/>
    <w:rsid w:val="389A3B20"/>
    <w:rsid w:val="3F28132A"/>
    <w:rsid w:val="474D265E"/>
    <w:rsid w:val="49221B6F"/>
    <w:rsid w:val="537B0E91"/>
    <w:rsid w:val="6544153D"/>
    <w:rsid w:val="6838319B"/>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2902</Words>
  <Characters>3106</Characters>
  <Lines>5</Lines>
  <Paragraphs>7</Paragraphs>
  <TotalTime>14</TotalTime>
  <ScaleCrop>false</ScaleCrop>
  <LinksUpToDate>false</LinksUpToDate>
  <CharactersWithSpaces>3170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2022-09-15T02:13:14Z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ABEC326DD45B455A9E2E24A638442418</vt:lpwstr>
  </property>
</Properties>
</file>