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rPr>
        <w:t>朔州市朔城区中医医院</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400" w:firstLineChars="2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rPr>
          <w:rFonts w:ascii="宋体" w:hAnsi="宋体" w:cs="宋体"/>
          <w:b/>
          <w:sz w:val="30"/>
          <w:szCs w:val="30"/>
        </w:rPr>
      </w:pPr>
    </w:p>
    <w:p>
      <w:pPr>
        <w:ind w:firstLine="3744" w:firstLineChars="1200"/>
        <w:rPr>
          <w:rFonts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第一部分</w:t>
      </w:r>
      <w:r>
        <w:rPr>
          <w:rFonts w:ascii="黑体" w:hAnsi="黑体" w:eastAsia="黑体" w:cs="黑体"/>
          <w:snapToGrid w:val="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shd w:val="clear" w:color="auto" w:fill="FFFFFF"/>
        <w:wordWrap w:val="0"/>
        <w:spacing w:line="420" w:lineRule="atLeast"/>
        <w:ind w:firstLine="640" w:firstLineChars="200"/>
        <w:rPr>
          <w:rFonts w:ascii="仿宋" w:hAnsi="仿宋" w:eastAsia="仿宋"/>
          <w:sz w:val="32"/>
          <w:szCs w:val="32"/>
        </w:rPr>
      </w:pPr>
      <w:r>
        <w:rPr>
          <w:rFonts w:hint="eastAsia" w:ascii="仿宋" w:hAnsi="仿宋" w:eastAsia="仿宋"/>
          <w:sz w:val="32"/>
          <w:szCs w:val="32"/>
          <w:shd w:val="clear" w:color="auto" w:fill="FFFFFF"/>
        </w:rPr>
        <w:t>1、为人民群众提供中西医医疗、预防、保健、康复等医疗卫生服务。</w:t>
      </w:r>
    </w:p>
    <w:p>
      <w:pPr>
        <w:shd w:val="clear" w:color="auto" w:fill="FFFFFF"/>
        <w:wordWrap w:val="0"/>
        <w:spacing w:line="420" w:lineRule="atLeast"/>
        <w:ind w:firstLine="640" w:firstLineChars="200"/>
        <w:rPr>
          <w:rFonts w:ascii="仿宋" w:hAnsi="仿宋" w:eastAsia="仿宋"/>
          <w:sz w:val="32"/>
          <w:szCs w:val="32"/>
        </w:rPr>
      </w:pPr>
      <w:r>
        <w:rPr>
          <w:rFonts w:hint="eastAsia" w:ascii="仿宋" w:hAnsi="仿宋" w:eastAsia="仿宋"/>
          <w:sz w:val="32"/>
          <w:szCs w:val="32"/>
          <w:shd w:val="clear" w:color="auto" w:fill="FFFFFF"/>
        </w:rPr>
        <w:t>2、贯彻落实医药卫生体制改革、中西医并重方针和国家中医药法律法规，执行中医药政策；拟定实施中医药、民族医药和中西医结合发展战略、规划。</w:t>
      </w:r>
    </w:p>
    <w:p>
      <w:pPr>
        <w:shd w:val="clear" w:color="auto" w:fill="FFFFFF"/>
        <w:wordWrap w:val="0"/>
        <w:spacing w:line="420" w:lineRule="atLeast"/>
        <w:ind w:firstLine="480" w:firstLineChars="150"/>
      </w:pPr>
      <w:r>
        <w:rPr>
          <w:rFonts w:hint="eastAsia" w:ascii="仿宋" w:hAnsi="仿宋" w:eastAsia="仿宋"/>
          <w:sz w:val="32"/>
          <w:szCs w:val="32"/>
          <w:shd w:val="clear" w:color="auto" w:fill="FFFFFF"/>
        </w:rPr>
        <w:t>3、确保全区人民中西医疗健康需求，建立与地方经济发展相适应的中西医结合医疗环境。</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本单位内设3个科室，办公室、财务科、医务科，无下属单位。</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从预算单位构成看，朔城区中医医院单位部门决算包括：本级决算。</w:t>
      </w:r>
    </w:p>
    <w:p>
      <w:pPr>
        <w:jc w:val="center"/>
        <w:rPr>
          <w:rFonts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第二部分2021</w:t>
      </w:r>
      <w:r>
        <w:rPr>
          <w:rFonts w:ascii="黑体" w:hAnsi="黑体" w:eastAsia="黑体" w:cs="黑体"/>
          <w:snapToGrid w:val="0"/>
          <w:spacing w:val="-4"/>
          <w:kern w:val="0"/>
          <w:sz w:val="32"/>
          <w:szCs w:val="32"/>
        </w:rPr>
        <w:t xml:space="preserve"> 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spacing w:val="-4"/>
          <w:kern w:val="0"/>
          <w:sz w:val="32"/>
          <w:szCs w:val="32"/>
        </w:rPr>
      </w:pPr>
      <w:bookmarkStart w:id="3" w:name="_Toc17336_WPSOffice_Level1"/>
      <w:bookmarkStart w:id="4" w:name="_Toc25884_WPSOffice_Level1"/>
      <w:r>
        <w:rPr>
          <w:rFonts w:ascii="黑体" w:hAnsi="黑体" w:eastAsia="黑体" w:cs="黑体"/>
          <w:snapToGrid w:val="0"/>
          <w:spacing w:val="-4"/>
          <w:kern w:val="0"/>
          <w:sz w:val="32"/>
          <w:szCs w:val="32"/>
        </w:rPr>
        <w:t>第三部分</w:t>
      </w:r>
      <w:r>
        <w:rPr>
          <w:rFonts w:hint="eastAsia" w:ascii="黑体" w:hAnsi="黑体" w:eastAsia="黑体" w:cs="黑体"/>
          <w:snapToGrid w:val="0"/>
          <w:spacing w:val="-4"/>
          <w:kern w:val="0"/>
          <w:sz w:val="32"/>
          <w:szCs w:val="32"/>
        </w:rPr>
        <w:t>2021</w:t>
      </w:r>
      <w:r>
        <w:rPr>
          <w:rFonts w:ascii="黑体" w:hAnsi="黑体" w:eastAsia="黑体" w:cs="黑体"/>
          <w:snapToGrid w:val="0"/>
          <w:spacing w:val="-4"/>
          <w:kern w:val="0"/>
          <w:sz w:val="32"/>
          <w:szCs w:val="32"/>
        </w:rPr>
        <w:t xml:space="preserve"> 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2021 年 度 收 入 总 计588.27万元 、 支 出 总 计588.27万元。与 2020年相比,收入总计减少557.94万元，支出总计减少557.94万元。主要原因是：调出人员47人至人民医院。</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本年收入合计582.21万元，其中：财政拨款收入</w:t>
      </w:r>
      <w:r>
        <w:rPr>
          <w:rFonts w:hint="eastAsia" w:ascii="仿宋" w:hAnsi="仿宋" w:eastAsia="仿宋" w:cs="仿宋"/>
          <w:sz w:val="32"/>
          <w:szCs w:val="32"/>
        </w:rPr>
        <w:t>580.81</w:t>
      </w:r>
      <w:r>
        <w:rPr>
          <w:rFonts w:hint="eastAsia" w:ascii="宋体" w:hAnsi="宋体" w:eastAsia="仿宋_GB2312" w:cs="Times New Roman"/>
          <w:sz w:val="32"/>
          <w:szCs w:val="32"/>
        </w:rPr>
        <w:t>万元;上级补助收入0万元；事业收入 0万元；经营收入0万元；附属单位上缴收入 0 万元；其他收入1.40万元。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本年支出合计586.88万元 ，其中：基本支出</w:t>
      </w:r>
      <w:r>
        <w:rPr>
          <w:rFonts w:hint="eastAsia" w:ascii="仿宋" w:hAnsi="仿宋" w:eastAsia="仿宋" w:cs="仿宋"/>
          <w:sz w:val="32"/>
          <w:szCs w:val="32"/>
        </w:rPr>
        <w:t>586.88</w:t>
      </w:r>
      <w:r>
        <w:rPr>
          <w:rFonts w:hint="eastAsia" w:ascii="宋体" w:hAnsi="宋体" w:eastAsia="仿宋_GB2312" w:cs="Times New Roman"/>
          <w:sz w:val="32"/>
          <w:szCs w:val="32"/>
        </w:rPr>
        <w:t>万元 ；项目支出0万元；上缴上级支出0万元，经营支出0万元；对附属单位补助支出0万元。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rPr>
        <w:t>2021 年度财政拨款收入总计</w:t>
      </w:r>
      <w:r>
        <w:rPr>
          <w:rFonts w:hint="eastAsia" w:ascii="仿宋" w:hAnsi="仿宋" w:eastAsia="仿宋" w:cs="仿宋"/>
          <w:sz w:val="32"/>
          <w:szCs w:val="32"/>
        </w:rPr>
        <w:t>580.81</w:t>
      </w:r>
      <w:r>
        <w:rPr>
          <w:rFonts w:hint="eastAsia" w:ascii="宋体" w:hAnsi="宋体" w:eastAsia="仿宋_GB2312" w:cs="Times New Roman"/>
          <w:sz w:val="32"/>
          <w:szCs w:val="32"/>
        </w:rPr>
        <w:t>万元、支出总计580.81万元。与 2020 年相比，财政拨款收入总计减少</w:t>
      </w:r>
      <w:r>
        <w:rPr>
          <w:rFonts w:hint="eastAsia" w:ascii="仿宋" w:hAnsi="仿宋" w:eastAsia="仿宋" w:cs="仿宋"/>
          <w:spacing w:val="2"/>
          <w:sz w:val="32"/>
          <w:szCs w:val="32"/>
        </w:rPr>
        <w:t>558.17</w:t>
      </w:r>
      <w:r>
        <w:rPr>
          <w:rFonts w:hint="eastAsia" w:ascii="宋体" w:hAnsi="宋体" w:eastAsia="仿宋_GB2312" w:cs="Times New Roman"/>
          <w:sz w:val="32"/>
          <w:szCs w:val="32"/>
        </w:rPr>
        <w:t>万元，减少49.01%。主要原因是：调出人员47人至人民医院。</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hint="eastAsia" w:ascii="仿宋" w:hAnsi="仿宋" w:eastAsia="仿宋" w:cs="仿宋"/>
          <w:sz w:val="32"/>
          <w:szCs w:val="32"/>
        </w:rPr>
        <w:t>580.81</w:t>
      </w:r>
      <w:r>
        <w:rPr>
          <w:rFonts w:hint="eastAsia" w:ascii="宋体" w:hAnsi="宋体" w:eastAsia="仿宋_GB2312" w:cs="Times New Roman"/>
          <w:sz w:val="32"/>
          <w:szCs w:val="32"/>
        </w:rPr>
        <w:t>万元，与 2020 年相比，财政拨款支出减少557.29万元。主要原因是：调出人员47人至人民医院。</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_GB2312" w:cs="仿宋"/>
          <w:sz w:val="32"/>
          <w:szCs w:val="32"/>
        </w:rPr>
      </w:pPr>
      <w:bookmarkStart w:id="14" w:name="_Toc1066_WPSOffice_Level2"/>
      <w:bookmarkStart w:id="15" w:name="_Toc27424_WPSOffice_Level2"/>
      <w:r>
        <w:rPr>
          <w:rFonts w:hint="eastAsia" w:ascii="宋体" w:hAnsi="宋体" w:eastAsia="仿宋_GB2312" w:cs="Times New Roman"/>
          <w:sz w:val="32"/>
          <w:szCs w:val="32"/>
        </w:rPr>
        <w:t>2021 年度财政拨款支出</w:t>
      </w:r>
      <w:r>
        <w:rPr>
          <w:rFonts w:hint="eastAsia" w:ascii="仿宋" w:hAnsi="仿宋" w:eastAsia="仿宋" w:cs="仿宋"/>
          <w:sz w:val="32"/>
          <w:szCs w:val="32"/>
        </w:rPr>
        <w:t>580.81</w:t>
      </w:r>
      <w:r>
        <w:rPr>
          <w:rFonts w:hint="eastAsia" w:ascii="宋体" w:hAnsi="宋体" w:eastAsia="仿宋_GB2312" w:cs="Times New Roman"/>
          <w:sz w:val="32"/>
          <w:szCs w:val="32"/>
        </w:rPr>
        <w:t>万元，主要用于以下方面：死亡抚恤支出11.57万元，占1.99%；中医（民族）医院支出569.24万元，占98.01%。</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2021年度一般公共预算财政拨款支出当年调整预算数580.81万元，支出决算为</w:t>
      </w:r>
      <w:r>
        <w:rPr>
          <w:rFonts w:hint="eastAsia" w:ascii="仿宋" w:hAnsi="仿宋" w:eastAsia="仿宋" w:cs="仿宋"/>
          <w:sz w:val="32"/>
          <w:szCs w:val="32"/>
        </w:rPr>
        <w:t>580.81</w:t>
      </w:r>
      <w:r>
        <w:rPr>
          <w:rFonts w:hint="eastAsia" w:ascii="宋体" w:hAnsi="宋体" w:eastAsia="仿宋_GB2312" w:cs="Times New Roman"/>
          <w:sz w:val="32"/>
          <w:szCs w:val="32"/>
        </w:rPr>
        <w:t>万元，完成当年调整预算的100%。</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rPr>
        <w:t>2021 年度财政拨款基本支出</w:t>
      </w:r>
      <w:r>
        <w:rPr>
          <w:rFonts w:hint="eastAsia" w:ascii="仿宋" w:hAnsi="仿宋" w:eastAsia="仿宋" w:cs="仿宋"/>
          <w:spacing w:val="4"/>
          <w:sz w:val="32"/>
          <w:szCs w:val="32"/>
        </w:rPr>
        <w:t>580.81</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rPr>
        <w:t>580.81</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548.18</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32.63</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0</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rPr>
        <w:t>0</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pStyle w:val="2"/>
      </w:pPr>
      <w:r>
        <w:rPr>
          <w:rFonts w:hint="eastAsia" w:ascii="仿宋_GB2312" w:hAnsi="宋体" w:eastAsia="仿宋_GB2312"/>
          <w:bCs/>
          <w:sz w:val="32"/>
          <w:szCs w:val="32"/>
        </w:rPr>
        <w:t>2021年“三公”经费0万元，与上一年度“三公”经费相比没有变化。</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spacing w:line="204" w:lineRule="auto"/>
        <w:ind w:firstLine="160" w:firstLineChars="50"/>
        <w:jc w:val="left"/>
        <w:rPr>
          <w:rFonts w:hint="eastAsia" w:ascii="楷体" w:hAnsi="楷体" w:eastAsia="仿宋_GB2312" w:cs="楷体"/>
          <w:spacing w:val="-3"/>
          <w:sz w:val="32"/>
          <w:szCs w:val="32"/>
          <w:lang w:eastAsia="zh-CN"/>
        </w:rPr>
      </w:pPr>
      <w:r>
        <w:rPr>
          <w:rFonts w:hint="eastAsia" w:ascii="仿宋_GB2312" w:hAnsi="宋体" w:eastAsia="仿宋_GB2312"/>
          <w:bCs/>
          <w:sz w:val="32"/>
          <w:szCs w:val="32"/>
        </w:rPr>
        <w:t>2021年我单位无政府性基金收入</w:t>
      </w:r>
      <w:r>
        <w:rPr>
          <w:rFonts w:hint="eastAsia" w:ascii="仿宋_GB2312" w:hAnsi="宋体" w:eastAsia="仿宋_GB2312"/>
          <w:bCs/>
          <w:sz w:val="32"/>
          <w:szCs w:val="32"/>
          <w:lang w:eastAsia="zh-CN"/>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rPr>
        <w:t>我单位无机关运行经费的部门</w:t>
      </w:r>
      <w:r>
        <w:rPr>
          <w:rFonts w:hint="eastAsia" w:ascii="宋体" w:hAnsi="宋体" w:eastAsia="仿宋_GB2312" w:cs="Times New Roman"/>
          <w:sz w:val="32"/>
          <w:szCs w:val="32"/>
          <w:lang w:eastAsia="zh-CN"/>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2021年我单位无政府采购。</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微软雅黑" w:hAnsi="微软雅黑" w:eastAsia="微软雅黑" w:cs="宋体"/>
          <w:kern w:val="0"/>
          <w:sz w:val="24"/>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2021年</w:t>
      </w:r>
      <w:r>
        <w:rPr>
          <w:rFonts w:hint="eastAsia" w:ascii="宋体" w:hAnsi="宋体" w:eastAsia="仿宋_GB2312" w:cs="Times New Roman"/>
          <w:sz w:val="32"/>
          <w:szCs w:val="32"/>
        </w:rPr>
        <w:t>12月31日，本部门共有车辆</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辆，其中，主要领导干部用车0辆、机要通信用车0辆、应急保障用车0辆、执法执勤用车0辆、特种专业技术用车0辆、离退休干部用车0辆、其他用车</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辆，单价50万元（含）以上的通用设备0台（套），单价100万元（含）以上专用设备0台（套）。</w:t>
      </w:r>
      <w:bookmarkStart w:id="20" w:name="_GoBack"/>
      <w:bookmarkEnd w:id="20"/>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pStyle w:val="10"/>
        <w:numPr>
          <w:ilvl w:val="0"/>
          <w:numId w:val="5"/>
        </w:numPr>
        <w:ind w:firstLineChars="0"/>
        <w:rPr>
          <w:rFonts w:ascii="宋体" w:hAnsi="宋体" w:eastAsia="仿宋_GB2312" w:cs="Times New Roman"/>
          <w:sz w:val="32"/>
          <w:szCs w:val="32"/>
        </w:rPr>
      </w:pPr>
      <w:r>
        <w:rPr>
          <w:rFonts w:hint="eastAsia" w:ascii="宋体" w:hAnsi="宋体" w:eastAsia="仿宋_GB2312" w:cs="Times New Roman"/>
          <w:sz w:val="32"/>
          <w:szCs w:val="32"/>
        </w:rPr>
        <w:t>项目绩效评价工作开展情况，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我单位无绩效项目。</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18" w:name="_Toc32537"/>
      <w:bookmarkStart w:id="19"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18"/>
      <w:bookmarkEnd w:id="19"/>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469D2545"/>
    <w:multiLevelType w:val="multilevel"/>
    <w:tmpl w:val="469D2545"/>
    <w:lvl w:ilvl="0" w:tentative="0">
      <w:start w:val="1"/>
      <w:numFmt w:val="decimal"/>
      <w:lvlText w:val="(%1)"/>
      <w:lvlJc w:val="left"/>
      <w:pPr>
        <w:ind w:left="495" w:hanging="4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QzNjc1MTFiOWRmZDY5ODQ4OWYyZmMzMDEyZmQ1OTAifQ=="/>
  </w:docVars>
  <w:rsids>
    <w:rsidRoot w:val="7E3F0B7D"/>
    <w:rsid w:val="000014A7"/>
    <w:rsid w:val="00052B5B"/>
    <w:rsid w:val="000735E8"/>
    <w:rsid w:val="000A0E77"/>
    <w:rsid w:val="004737CA"/>
    <w:rsid w:val="004B3DAF"/>
    <w:rsid w:val="004B5317"/>
    <w:rsid w:val="005569E1"/>
    <w:rsid w:val="00577961"/>
    <w:rsid w:val="005B1172"/>
    <w:rsid w:val="00621855"/>
    <w:rsid w:val="006420EC"/>
    <w:rsid w:val="006B0DAC"/>
    <w:rsid w:val="00720331"/>
    <w:rsid w:val="00763FF3"/>
    <w:rsid w:val="00774AFB"/>
    <w:rsid w:val="00790540"/>
    <w:rsid w:val="00874F22"/>
    <w:rsid w:val="009433BE"/>
    <w:rsid w:val="00B60ADA"/>
    <w:rsid w:val="00C237AB"/>
    <w:rsid w:val="00C63FA3"/>
    <w:rsid w:val="00C868B0"/>
    <w:rsid w:val="00DB0B24"/>
    <w:rsid w:val="00E2772E"/>
    <w:rsid w:val="00E4217F"/>
    <w:rsid w:val="00E64D73"/>
    <w:rsid w:val="00E7784B"/>
    <w:rsid w:val="00EC49E9"/>
    <w:rsid w:val="00EE167D"/>
    <w:rsid w:val="00F06278"/>
    <w:rsid w:val="00FA42EC"/>
    <w:rsid w:val="024414AF"/>
    <w:rsid w:val="02D40493"/>
    <w:rsid w:val="039968AC"/>
    <w:rsid w:val="2A0E535B"/>
    <w:rsid w:val="35711F81"/>
    <w:rsid w:val="37B27A14"/>
    <w:rsid w:val="3948388B"/>
    <w:rsid w:val="3F28132A"/>
    <w:rsid w:val="3F9F5AB9"/>
    <w:rsid w:val="3FD40FE1"/>
    <w:rsid w:val="44721BCA"/>
    <w:rsid w:val="455613EC"/>
    <w:rsid w:val="550632EE"/>
    <w:rsid w:val="58A611E5"/>
    <w:rsid w:val="794063CF"/>
    <w:rsid w:val="7E3F0B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46A4E6-8B92-42A1-8829-2AB2A0E9C6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2474</Words>
  <Characters>684</Characters>
  <Lines>5</Lines>
  <Paragraphs>6</Paragraphs>
  <TotalTime>0</TotalTime>
  <ScaleCrop>false</ScaleCrop>
  <LinksUpToDate>false</LinksUpToDate>
  <CharactersWithSpaces>3152</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2022-09-06T08:40:00Z</dcterms:created>
  <dc:creator>Administrator</dc:creator>
  <cp:lastModifiedBy>work</cp:lastModifiedBy>
  <cp:lastPrinted>2022-09-08T02:26:00Z</cp:lastPrinted>
  <dcterms:modified xsi:type="dcterms:W3CDTF">2022-09-16T02:30:53Z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AA413C131A7D49028A6B6473D464E8DC</vt:lpwstr>
  </property>
</Properties>
</file>