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朔州市朔城区滋润乡卫生院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本单位内设7个科室，无下属单位。从预算单位构成看，本单位部门决算包括：本级决算。</w:t>
      </w:r>
      <w:bookmarkStart w:id="20" w:name="_GoBack"/>
      <w:bookmarkEnd w:id="20"/>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计354.09万元 、 支 出 总 计354.09万元。与 2020年相比,收入总计增加102.53万元，支出总计增加31.94万元。主要原因是2021年政府机构改革朔州市朔城区滋润乡卫生院汴子疃分院合并到朔州市朔城区滋润乡卫生院，增加健康助理员工资及保险，旧体制遗留卫生集体退休人员增资，基本公共卫生服务标准提高，基本药物补助标准提高。</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本年收入合计354.09万元，其中：财政拨款收入354.09万元;上级补助收入0万元；事业收入0万元；经营收入0万元；附属单位上缴收入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本年支出合计354.09万元 ，其中：基本支出</w:t>
      </w:r>
      <w:r>
        <w:rPr>
          <w:rFonts w:hint="eastAsia" w:ascii="仿宋" w:hAnsi="仿宋" w:eastAsia="仿宋" w:cs="仿宋"/>
          <w:sz w:val="32"/>
          <w:szCs w:val="32"/>
        </w:rPr>
        <w:t>16.3</w:t>
      </w:r>
      <w:r>
        <w:rPr>
          <w:rFonts w:hint="eastAsia" w:ascii="宋体" w:hAnsi="宋体" w:eastAsia="仿宋_GB2312" w:cs="Times New Roman"/>
          <w:sz w:val="32"/>
          <w:szCs w:val="32"/>
        </w:rPr>
        <w:t>万元 ；项目支出</w:t>
      </w:r>
      <w:r>
        <w:rPr>
          <w:rFonts w:hint="eastAsia" w:ascii="仿宋" w:hAnsi="仿宋" w:eastAsia="仿宋" w:cs="仿宋"/>
          <w:sz w:val="32"/>
          <w:szCs w:val="32"/>
        </w:rPr>
        <w:t>337.79</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年度财政拨款收入总计354.09万元、支出总计354.09万元。与 2020 年相比，财政拨款收入总计增加102.53万元，增长40.76%。主要原因是：2021年政府机构改革朔州市朔城区滋润乡卫生院汴子疃分院合并到朔州市朔城区滋润乡卫生院，增加健康助理员工资及保险，旧体制遗留卫生集体退休人员增资，基本公共卫生服务标准提高，基本药物补助标准提高。</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年度财政拨款支出354.09万元，与 2020 年相比，财政拨款支出增加102.53万元。主要原因是：2021年政府机构改革朔州市朔城区滋润乡卫生院汴子疃分院合并到朔州市朔城区滋润乡卫生院，增加健康助理员工资及保险，旧体制遗留卫生集体退休人员增资，基本公共卫生服务标准提高，基本药物补助标准提高。</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rPr>
        <w:t>2021 年度财政拨款支出354.09万元，主要用于以下方面： 2100302滋润乡卫生院支出147.06万元，占41.53%；2100399其他医疗卫生机构支出81.36万元，占22.98%；2100408基本公共卫生服务支出110.55万元</w:t>
      </w:r>
      <w:r>
        <w:rPr>
          <w:rFonts w:hint="eastAsia" w:ascii="仿宋" w:hAnsi="仿宋" w:eastAsia="仿宋" w:cs="仿宋"/>
          <w:spacing w:val="4"/>
          <w:sz w:val="32"/>
          <w:szCs w:val="32"/>
        </w:rPr>
        <w:t>，</w:t>
      </w:r>
      <w:r>
        <w:rPr>
          <w:rFonts w:hint="eastAsia" w:ascii="宋体" w:hAnsi="宋体" w:eastAsia="仿宋_GB2312" w:cs="Times New Roman"/>
          <w:sz w:val="32"/>
          <w:szCs w:val="32"/>
        </w:rPr>
        <w:t>占31.22%；2109999其他卫生健康支出15.12万元，占4.27%。</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2021年度一般公共预算财政拨款支出当年调整预算数354.09万元，支出决算为354.09万元，完成当年调整预算的100%。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16.3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16.3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13.66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2.64</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ind w:firstLine="736" w:firstLineChars="230"/>
      </w:pPr>
      <w:r>
        <w:rPr>
          <w:rFonts w:hint="eastAsia" w:ascii="宋体" w:hAnsi="宋体" w:eastAsia="仿宋_GB2312" w:cs="Times New Roman"/>
          <w:sz w:val="32"/>
          <w:szCs w:val="32"/>
        </w:rPr>
        <w:t>2021年我单位无“三公”经费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2021年无政府性基金预算财政拨款收入。</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我单位部门无国有资产占用情况。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应包括2021年度单位实行绩效目标管理的项目4个，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涉及一般公共预算当年拨款337.79万元。</w:t>
      </w:r>
    </w:p>
    <w:p>
      <w:pPr>
        <w:rPr>
          <w:rFonts w:hint="eastAsia"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570" w:lineRule="exact"/>
        <w:textAlignment w:val="center"/>
        <w:rPr>
          <w:rFonts w:hint="eastAsia" w:ascii="宋体" w:hAnsi="宋体" w:eastAsia="仿宋_GB2312" w:cs="Times New Roman"/>
          <w:sz w:val="32"/>
          <w:szCs w:val="32"/>
        </w:rPr>
      </w:pPr>
      <w:r>
        <w:rPr>
          <w:rFonts w:hint="eastAsia" w:ascii="宋体" w:hAnsi="宋体" w:eastAsia="仿宋_GB2312" w:cs="Times New Roman"/>
          <w:sz w:val="32"/>
          <w:szCs w:val="32"/>
        </w:rPr>
        <w:t>1、</w:t>
      </w:r>
      <w:r>
        <w:rPr>
          <w:rFonts w:hint="eastAsia" w:ascii="仿宋_GB2312" w:hAnsi="宋体" w:eastAsia="仿宋_GB2312"/>
          <w:bCs/>
          <w:color w:val="000000"/>
          <w:sz w:val="30"/>
          <w:szCs w:val="30"/>
        </w:rPr>
        <w:t>乡村两级基药补助，</w:t>
      </w:r>
      <w:r>
        <w:rPr>
          <w:rFonts w:hint="eastAsia" w:ascii="宋体" w:hAnsi="宋体" w:eastAsia="仿宋_GB2312" w:cs="Times New Roman"/>
          <w:sz w:val="32"/>
          <w:szCs w:val="32"/>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hint="eastAsia" w:ascii="宋体" w:hAnsi="宋体" w:eastAsia="仿宋_GB2312" w:cs="Times New Roman"/>
          <w:sz w:val="32"/>
          <w:szCs w:val="32"/>
        </w:rPr>
      </w:pPr>
      <w:r>
        <w:rPr>
          <w:rFonts w:hint="eastAsia" w:ascii="宋体" w:hAnsi="宋体" w:eastAsia="仿宋_GB2312" w:cs="Times New Roman"/>
          <w:sz w:val="32"/>
          <w:szCs w:val="32"/>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r>
        <w:rPr>
          <w:rFonts w:hint="eastAsia" w:ascii="宋体" w:hAnsi="宋体" w:eastAsia="仿宋_GB2312" w:cs="Times New Roman"/>
          <w:sz w:val="32"/>
          <w:szCs w:val="32"/>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outlineLvl w:val="0"/>
        <w:rPr>
          <w:rFonts w:hint="eastAsia" w:ascii="仿宋" w:hAnsi="仿宋" w:eastAsia="仿宋" w:cs="仿宋"/>
          <w:spacing w:val="4"/>
          <w:sz w:val="32"/>
          <w:szCs w:val="32"/>
        </w:rPr>
      </w:pPr>
      <w:bookmarkStart w:id="18" w:name="_Toc8549_WPSOffice_Level1"/>
      <w:bookmarkStart w:id="19" w:name="_Toc32537"/>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21B40"/>
    <w:rsid w:val="00052B5B"/>
    <w:rsid w:val="0017327C"/>
    <w:rsid w:val="00206250"/>
    <w:rsid w:val="002A6193"/>
    <w:rsid w:val="004019F0"/>
    <w:rsid w:val="00464842"/>
    <w:rsid w:val="004C2929"/>
    <w:rsid w:val="005D2AE6"/>
    <w:rsid w:val="006D07FD"/>
    <w:rsid w:val="00774AFB"/>
    <w:rsid w:val="007E43F5"/>
    <w:rsid w:val="008C2D21"/>
    <w:rsid w:val="00A6513F"/>
    <w:rsid w:val="00B571B9"/>
    <w:rsid w:val="00BA18F0"/>
    <w:rsid w:val="00BA705B"/>
    <w:rsid w:val="00C44034"/>
    <w:rsid w:val="00DF05CF"/>
    <w:rsid w:val="00E4217F"/>
    <w:rsid w:val="0E115DFD"/>
    <w:rsid w:val="11D27EAE"/>
    <w:rsid w:val="1C3210A5"/>
    <w:rsid w:val="20D97C1B"/>
    <w:rsid w:val="23553F43"/>
    <w:rsid w:val="299664C8"/>
    <w:rsid w:val="3F28132A"/>
    <w:rsid w:val="49221B6F"/>
    <w:rsid w:val="6544153D"/>
    <w:rsid w:val="68CD37BD"/>
    <w:rsid w:val="6C940C35"/>
    <w:rsid w:val="70B650C9"/>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2942</Words>
  <Characters>755</Characters>
  <Lines>6</Lines>
  <Paragraphs>7</Paragraphs>
  <TotalTime>84</TotalTime>
  <ScaleCrop>false</ScaleCrop>
  <LinksUpToDate>false</LinksUpToDate>
  <CharactersWithSpaces>3690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2022-09-16T00:53:44Z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