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朔州市朔城区南城街道办事处社区卫生服务中心</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本单位内设10个科室，无下属单位。从预算单位构成看，本单位部门决算包括：本级决算。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计489.84万元 、 支 出 总 计489.84万元。与 2020年相比,收入总计增加152.47万元，支出总计增加152.47万元。主要原因是增加健康助理员工资及保险，旧体制遗留卫生集体退休人员增资，基本公共卫生服务标准提高，基本药物补助标准提高。</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本年收入合计489.84万元，其中：财政拨款收入489.84万元;上级补助收入0万元；事业收入0万元；经营收入0万元；附属单位上缴收入 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本年支出合计489.84万元 ，其中：基本支出</w:t>
      </w:r>
      <w:r>
        <w:rPr>
          <w:rFonts w:hint="eastAsia" w:ascii="仿宋" w:hAnsi="仿宋" w:eastAsia="仿宋" w:cs="仿宋"/>
          <w:sz w:val="32"/>
          <w:szCs w:val="32"/>
        </w:rPr>
        <w:t>34.23</w:t>
      </w:r>
      <w:r>
        <w:rPr>
          <w:rFonts w:hint="eastAsia" w:ascii="宋体" w:hAnsi="宋体" w:eastAsia="仿宋_GB2312" w:cs="Times New Roman"/>
          <w:sz w:val="32"/>
          <w:szCs w:val="32"/>
        </w:rPr>
        <w:t>万元 ；项目支出</w:t>
      </w:r>
      <w:r>
        <w:rPr>
          <w:rFonts w:hint="eastAsia" w:ascii="仿宋" w:hAnsi="仿宋" w:eastAsia="仿宋" w:cs="仿宋"/>
          <w:sz w:val="32"/>
          <w:szCs w:val="32"/>
        </w:rPr>
        <w:t>455.61</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年度财政拨款收入总计489.84万元、支出总计489.84万元。与 2020 年相比，财政拨款收入总计增加152.47万元，增长45.19%。主要原因是：2021年政府机构改革朔州市朔城区南城街道办事处东关街社区卫生服务站、朔州市朔城区南城街道办事处长虹巷社区卫生服务站合并到朔州市朔城区南城街道办事处社区卫生服务中心，增加健康助理员工资及保险，旧体制遗留卫生集体退休人员增资，基本公共卫生服务标准提高，基本药物补助标准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489.84</w:t>
      </w:r>
      <w:r>
        <w:rPr>
          <w:rFonts w:hint="eastAsia" w:ascii="宋体" w:hAnsi="宋体" w:eastAsia="仿宋_GB2312" w:cs="Times New Roman"/>
          <w:sz w:val="32"/>
          <w:szCs w:val="32"/>
        </w:rPr>
        <w:t>万元，与 2020 年相比，财政拨款支出增加152.47万元。主要原因是：2021年政府机构改革朔州市朔城区南城街道办事处东关街社区卫生服务站、朔州市朔城区南城街道办事处长虹巷社区卫生服务站合并到朔州市朔城区南城街道办事处社区卫生服务中心，增加健康助理员工资及保险，旧体制遗留卫生集体退休人员增资，基本公共卫生服务标准提高，基本药物补助标准提高。2.财政拨款支出决算结构情况</w:t>
      </w:r>
    </w:p>
    <w:p>
      <w:pPr>
        <w:spacing w:line="360" w:lineRule="auto"/>
        <w:ind w:firstLine="640" w:firstLineChars="200"/>
        <w:rPr>
          <w:rFonts w:ascii="仿宋" w:hAnsi="仿宋" w:eastAsia="仿宋" w:cs="仿宋"/>
          <w:color w:val="000000" w:themeColor="text1"/>
          <w:sz w:val="32"/>
          <w:szCs w:val="32"/>
        </w:rPr>
      </w:pPr>
      <w:bookmarkStart w:id="14" w:name="_Toc1066_WPSOffice_Level2"/>
      <w:bookmarkStart w:id="15" w:name="_Toc27424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489.84</w:t>
      </w:r>
      <w:r>
        <w:rPr>
          <w:rFonts w:hint="eastAsia" w:ascii="宋体" w:hAnsi="宋体" w:eastAsia="仿宋_GB2312" w:cs="Times New Roman"/>
          <w:sz w:val="32"/>
          <w:szCs w:val="32"/>
        </w:rPr>
        <w:t xml:space="preserve">万元，主要用于以下方面： </w:t>
      </w:r>
      <w:r>
        <w:rPr>
          <w:rFonts w:hint="eastAsia" w:ascii="宋体" w:hAnsi="宋体" w:eastAsia="仿宋_GB2312" w:cs="Times New Roman"/>
          <w:color w:val="000000" w:themeColor="text1"/>
          <w:sz w:val="32"/>
          <w:szCs w:val="32"/>
        </w:rPr>
        <w:t>2100301</w:t>
      </w:r>
      <w:r>
        <w:rPr>
          <w:rFonts w:hint="eastAsia" w:ascii="宋体" w:hAnsi="宋体" w:eastAsia="仿宋_GB2312" w:cs="Times New Roman"/>
          <w:color w:val="000000" w:themeColor="text1"/>
          <w:sz w:val="32"/>
          <w:szCs w:val="32"/>
          <w:lang w:val="en-US" w:eastAsia="zh-CN"/>
        </w:rPr>
        <w:t>城市社区</w:t>
      </w:r>
      <w:r>
        <w:rPr>
          <w:rFonts w:hint="eastAsia" w:ascii="宋体" w:hAnsi="宋体" w:eastAsia="仿宋_GB2312" w:cs="Times New Roman"/>
          <w:color w:val="000000" w:themeColor="text1"/>
          <w:sz w:val="32"/>
          <w:szCs w:val="32"/>
        </w:rPr>
        <w:t>卫生机构支出80.18万元，占16.37%；2100302乡镇卫生院支出115.16万元，占23.51%；2100399其他</w:t>
      </w:r>
      <w:r>
        <w:rPr>
          <w:rFonts w:hint="eastAsia" w:ascii="宋体" w:hAnsi="宋体" w:eastAsia="仿宋_GB2312" w:cs="Times New Roman"/>
          <w:color w:val="000000" w:themeColor="text1"/>
          <w:sz w:val="32"/>
          <w:szCs w:val="32"/>
          <w:lang w:val="en-US" w:eastAsia="zh-CN"/>
        </w:rPr>
        <w:t>基层</w:t>
      </w:r>
      <w:r>
        <w:rPr>
          <w:rFonts w:hint="eastAsia" w:ascii="宋体" w:hAnsi="宋体" w:eastAsia="仿宋_GB2312" w:cs="Times New Roman"/>
          <w:color w:val="000000" w:themeColor="text1"/>
          <w:sz w:val="32"/>
          <w:szCs w:val="32"/>
        </w:rPr>
        <w:t>医疗卫生机构支出31.01万元，占6.33%；2100408基本公共卫生服务支出247.02万元</w:t>
      </w:r>
      <w:r>
        <w:rPr>
          <w:rFonts w:hint="eastAsia" w:ascii="仿宋" w:hAnsi="仿宋" w:eastAsia="仿宋" w:cs="仿宋"/>
          <w:color w:val="000000" w:themeColor="text1"/>
          <w:spacing w:val="4"/>
          <w:sz w:val="32"/>
          <w:szCs w:val="32"/>
        </w:rPr>
        <w:t>，</w:t>
      </w:r>
      <w:r>
        <w:rPr>
          <w:rFonts w:hint="eastAsia" w:ascii="宋体" w:hAnsi="宋体" w:eastAsia="仿宋_GB2312" w:cs="Times New Roman"/>
          <w:color w:val="000000" w:themeColor="text1"/>
          <w:sz w:val="32"/>
          <w:szCs w:val="32"/>
        </w:rPr>
        <w:t>占50.43%；2109999其他卫生健康支出16.47万元，占3.36%。</w:t>
      </w:r>
    </w:p>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一般公共预算财政拨款支出决算具体情况。</w:t>
      </w:r>
    </w:p>
    <w:p>
      <w:pPr>
        <w:keepNext w:val="0"/>
        <w:keepLines w:val="0"/>
        <w:pageBreakBefore w:val="0"/>
        <w:widowControl w:val="0"/>
        <w:numPr>
          <w:numId w:val="0"/>
        </w:numPr>
        <w:kinsoku/>
        <w:wordWrap/>
        <w:overflowPunct/>
        <w:topLinePunct w:val="0"/>
        <w:autoSpaceDE/>
        <w:autoSpaceDN/>
        <w:bidi w:val="0"/>
        <w:adjustRightInd/>
        <w:snapToGrid/>
        <w:textAlignment w:val="auto"/>
        <w:rPr>
          <w:rFonts w:ascii="仿宋" w:hAnsi="仿宋" w:eastAsia="仿宋" w:cs="仿宋"/>
          <w:spacing w:val="4"/>
          <w:sz w:val="32"/>
          <w:szCs w:val="32"/>
        </w:rPr>
      </w:pPr>
      <w:r>
        <w:rPr>
          <w:rFonts w:hint="eastAsia" w:ascii="宋体" w:hAnsi="宋体" w:eastAsia="仿宋_GB2312" w:cs="Times New Roman"/>
          <w:color w:val="FFFFFF" w:themeColor="background1"/>
          <w:sz w:val="32"/>
          <w:szCs w:val="32"/>
        </w:rPr>
        <w:t>般</w:t>
      </w:r>
      <w:r>
        <w:rPr>
          <w:rFonts w:hint="eastAsia" w:ascii="宋体" w:hAnsi="宋体" w:eastAsia="仿宋_GB2312" w:cs="Times New Roman"/>
          <w:color w:val="FFFFFF" w:themeColor="background1"/>
          <w:sz w:val="32"/>
          <w:szCs w:val="32"/>
          <w:lang w:val="en-US" w:eastAsia="zh-CN"/>
        </w:rPr>
        <w:t xml:space="preserve">  </w:t>
      </w:r>
      <w:r>
        <w:rPr>
          <w:rFonts w:hint="eastAsia" w:ascii="宋体" w:hAnsi="宋体" w:eastAsia="仿宋_GB2312" w:cs="Times New Roman"/>
          <w:sz w:val="32"/>
          <w:szCs w:val="32"/>
        </w:rPr>
        <w:t>2021年度一般公共预算财政拨款支出当年调整预算数</w:t>
      </w:r>
      <w:r>
        <w:rPr>
          <w:rFonts w:hint="eastAsia" w:ascii="仿宋" w:hAnsi="仿宋" w:eastAsia="仿宋" w:cs="仿宋"/>
          <w:sz w:val="32"/>
          <w:szCs w:val="32"/>
        </w:rPr>
        <w:t>489.84</w:t>
      </w:r>
      <w:r>
        <w:rPr>
          <w:rFonts w:hint="eastAsia" w:ascii="宋体" w:hAnsi="宋体" w:eastAsia="仿宋_GB2312" w:cs="Times New Roman"/>
          <w:sz w:val="32"/>
          <w:szCs w:val="32"/>
        </w:rPr>
        <w:t>万元，支出决算为</w:t>
      </w:r>
      <w:r>
        <w:rPr>
          <w:rFonts w:hint="eastAsia" w:ascii="仿宋" w:hAnsi="仿宋" w:eastAsia="仿宋" w:cs="仿宋"/>
          <w:sz w:val="32"/>
          <w:szCs w:val="32"/>
        </w:rPr>
        <w:t>489.84</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rPr>
        <w:t>28.06</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28.06</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21.24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6.82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pStyle w:val="2"/>
        <w:ind w:firstLine="736" w:firstLineChars="230"/>
        <w:rPr>
          <w:rFonts w:hint="eastAsia" w:eastAsia="仿宋_GB2312"/>
          <w:lang w:eastAsia="zh-CN"/>
        </w:rPr>
      </w:pPr>
      <w:r>
        <w:rPr>
          <w:rFonts w:hint="eastAsia" w:ascii="宋体" w:hAnsi="宋体" w:eastAsia="仿宋_GB2312" w:cs="Times New Roman"/>
          <w:sz w:val="32"/>
          <w:szCs w:val="32"/>
        </w:rPr>
        <w:t>2021年我单位无“三公”经费</w:t>
      </w:r>
      <w:r>
        <w:rPr>
          <w:rFonts w:hint="eastAsia" w:ascii="宋体" w:hAnsi="宋体" w:eastAsia="仿宋_GB2312" w:cs="Times New Roman"/>
          <w:sz w:val="32"/>
          <w:szCs w:val="32"/>
          <w:lang w:eastAsia="zh-CN"/>
        </w:rPr>
        <w:t>。</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2021年无政府性基金预算财政拨款收入。</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ind w:firstLine="640" w:firstLineChars="200"/>
        <w:jc w:val="left"/>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bookmarkStart w:id="20" w:name="_GoBack"/>
      <w:bookmarkEnd w:id="20"/>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应包括2021年度单位实行绩效目标管理的项目4个，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涉及一般公共预算当年拨款455.61万元。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autoSpaceDN w:val="0"/>
        <w:spacing w:line="570" w:lineRule="exact"/>
        <w:textAlignment w:val="center"/>
        <w:rPr>
          <w:rFonts w:ascii="宋体" w:hAnsi="宋体" w:eastAsia="仿宋_GB2312" w:cs="Times New Roman"/>
          <w:sz w:val="32"/>
          <w:szCs w:val="32"/>
        </w:rPr>
      </w:pPr>
      <w:r>
        <w:rPr>
          <w:rFonts w:hint="eastAsia" w:ascii="宋体" w:hAnsi="宋体" w:eastAsia="仿宋_GB2312" w:cs="Times New Roman"/>
          <w:sz w:val="32"/>
          <w:szCs w:val="32"/>
        </w:rPr>
        <w:t>1、</w:t>
      </w:r>
      <w:r>
        <w:rPr>
          <w:rFonts w:hint="eastAsia" w:ascii="仿宋_GB2312" w:hAnsi="宋体" w:eastAsia="仿宋_GB2312"/>
          <w:bCs/>
          <w:color w:val="000000"/>
          <w:sz w:val="30"/>
          <w:szCs w:val="30"/>
        </w:rPr>
        <w:t>乡村两级基药补助，</w:t>
      </w:r>
      <w:r>
        <w:rPr>
          <w:rFonts w:hint="eastAsia" w:ascii="宋体" w:hAnsi="宋体" w:eastAsia="仿宋_GB2312" w:cs="Times New Roman"/>
          <w:sz w:val="32"/>
          <w:szCs w:val="32"/>
        </w:rPr>
        <w:t>实行农村人口全覆盖，实行药品零差率销售，为群众减轻药品费用。同时保障基层医疗卫生机构正常运行，乡村两级医务人员收入提高，社会反应良好，群众很满意。</w:t>
      </w:r>
    </w:p>
    <w:p>
      <w:pPr>
        <w:autoSpaceDN w:val="0"/>
        <w:spacing w:line="570" w:lineRule="exact"/>
        <w:textAlignment w:val="center"/>
        <w:rPr>
          <w:rFonts w:ascii="宋体" w:hAnsi="宋体" w:eastAsia="仿宋_GB2312" w:cs="Times New Roman"/>
          <w:sz w:val="32"/>
          <w:szCs w:val="32"/>
        </w:rPr>
      </w:pPr>
      <w:r>
        <w:rPr>
          <w:rFonts w:hint="eastAsia" w:ascii="宋体" w:hAnsi="宋体" w:eastAsia="仿宋_GB2312" w:cs="Times New Roman"/>
          <w:sz w:val="32"/>
          <w:szCs w:val="32"/>
        </w:rPr>
        <w:t>2、基本公共卫生服务项目补助，</w:t>
      </w:r>
      <w:r>
        <w:rPr>
          <w:rFonts w:hint="eastAsia" w:ascii="仿宋_GB2312" w:hAnsi="宋体" w:eastAsia="仿宋_GB2312"/>
          <w:bCs/>
          <w:color w:val="000000"/>
          <w:sz w:val="30"/>
          <w:szCs w:val="30"/>
        </w:rPr>
        <w:t>实行城乡人口全覆盖，人人都能享受到免费基本公共卫生服务项目。社会反应良好，群众很满意。</w:t>
      </w:r>
    </w:p>
    <w:p>
      <w:r>
        <w:rPr>
          <w:rFonts w:hint="eastAsia" w:ascii="宋体" w:hAnsi="宋体" w:eastAsia="仿宋_GB2312" w:cs="Times New Roman"/>
          <w:sz w:val="32"/>
          <w:szCs w:val="32"/>
        </w:rPr>
        <w:t>3、社群健康助理员工资及社保，乡村医生收入提高，全心全意为辖区居民服务，辖区居民健康水平提高。群众满意度提高。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jc w:val="left"/>
        <w:rPr>
          <w:rFonts w:ascii="仿宋" w:hAnsi="仿宋" w:eastAsia="仿宋" w:cs="仿宋"/>
          <w:spacing w:val="4"/>
          <w:sz w:val="32"/>
          <w:szCs w:val="32"/>
        </w:rPr>
      </w:pPr>
      <w:bookmarkStart w:id="18" w:name="_Toc32537"/>
      <w:bookmarkStart w:id="19" w:name="_Toc8549_WPSOffice_Level1"/>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0D49A"/>
    <w:multiLevelType w:val="singleLevel"/>
    <w:tmpl w:val="B7D0D49A"/>
    <w:lvl w:ilvl="0" w:tentative="0">
      <w:start w:val="3"/>
      <w:numFmt w:val="decimal"/>
      <w:lvlText w:val="%1."/>
      <w:lvlJc w:val="left"/>
      <w:pPr>
        <w:tabs>
          <w:tab w:val="left" w:pos="312"/>
        </w:tabs>
      </w:p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160752"/>
    <w:rsid w:val="0017327C"/>
    <w:rsid w:val="00206250"/>
    <w:rsid w:val="002243C8"/>
    <w:rsid w:val="0029168A"/>
    <w:rsid w:val="002A6193"/>
    <w:rsid w:val="003079C7"/>
    <w:rsid w:val="003319C8"/>
    <w:rsid w:val="004019F0"/>
    <w:rsid w:val="005809AF"/>
    <w:rsid w:val="005D2AE6"/>
    <w:rsid w:val="006D07FD"/>
    <w:rsid w:val="00774AFB"/>
    <w:rsid w:val="007B4B5D"/>
    <w:rsid w:val="007D733F"/>
    <w:rsid w:val="007E43F5"/>
    <w:rsid w:val="00A6513F"/>
    <w:rsid w:val="00B6631D"/>
    <w:rsid w:val="00BA18F0"/>
    <w:rsid w:val="00BA705B"/>
    <w:rsid w:val="00C44034"/>
    <w:rsid w:val="00D63820"/>
    <w:rsid w:val="00DF05CF"/>
    <w:rsid w:val="00E4217F"/>
    <w:rsid w:val="04465FC0"/>
    <w:rsid w:val="0E115DFD"/>
    <w:rsid w:val="11D27EAE"/>
    <w:rsid w:val="20D97C1B"/>
    <w:rsid w:val="23553F43"/>
    <w:rsid w:val="299664C8"/>
    <w:rsid w:val="2C811042"/>
    <w:rsid w:val="2EE86B3E"/>
    <w:rsid w:val="34264E48"/>
    <w:rsid w:val="3F28132A"/>
    <w:rsid w:val="44944793"/>
    <w:rsid w:val="49221B6F"/>
    <w:rsid w:val="4E14111B"/>
    <w:rsid w:val="5FB163CF"/>
    <w:rsid w:val="6544153D"/>
    <w:rsid w:val="675B1C54"/>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566</Words>
  <Characters>3230</Characters>
  <Lines>26</Lines>
  <Paragraphs>7</Paragraphs>
  <TotalTime>2</TotalTime>
  <ScaleCrop>false</ScaleCrop>
  <LinksUpToDate>false</LinksUpToDate>
  <CharactersWithSpaces>3789</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2022-09-21T01:09:09Z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