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48"/>
          <w:szCs w:val="48"/>
        </w:rPr>
      </w:pPr>
    </w:p>
    <w:p>
      <w:pPr>
        <w:jc w:val="center"/>
        <w:rPr>
          <w:rFonts w:hint="eastAsia" w:ascii="黑体" w:eastAsia="黑体"/>
          <w:sz w:val="44"/>
          <w:szCs w:val="44"/>
          <w:lang w:val="en-US" w:eastAsia="zh-CN"/>
        </w:rPr>
      </w:pPr>
      <w:r>
        <w:rPr>
          <w:rFonts w:hint="eastAsia" w:ascii="黑体" w:eastAsia="黑体"/>
          <w:sz w:val="44"/>
          <w:szCs w:val="44"/>
        </w:rPr>
        <w:t>朔州市朔城区小平易乡</w:t>
      </w:r>
      <w:r>
        <w:rPr>
          <w:rFonts w:hint="eastAsia" w:ascii="黑体" w:eastAsia="黑体"/>
          <w:sz w:val="44"/>
          <w:szCs w:val="44"/>
          <w:lang w:val="en-US" w:eastAsia="zh-CN"/>
        </w:rPr>
        <w:t>卫生院</w:t>
      </w:r>
    </w:p>
    <w:p>
      <w:pPr>
        <w:jc w:val="center"/>
        <w:rPr>
          <w:rFonts w:ascii="黑体" w:eastAsia="黑体"/>
          <w:sz w:val="44"/>
          <w:szCs w:val="44"/>
        </w:rPr>
      </w:pPr>
      <w:r>
        <w:rPr>
          <w:rFonts w:hint="eastAsia" w:ascii="黑体" w:eastAsia="黑体"/>
          <w:sz w:val="44"/>
          <w:szCs w:val="44"/>
        </w:rPr>
        <w:t>2021年部门决算公开情况说明</w:t>
      </w:r>
    </w:p>
    <w:p>
      <w:pPr>
        <w:spacing w:line="360" w:lineRule="auto"/>
        <w:jc w:val="center"/>
        <w:rPr>
          <w:rFonts w:ascii="宋体" w:hAnsi="宋体" w:cs="宋体"/>
          <w:sz w:val="44"/>
          <w:szCs w:val="44"/>
        </w:rPr>
      </w:pPr>
      <w:bookmarkStart w:id="0" w:name="_Toc8044_WPSOffice_Level1"/>
      <w:bookmarkStart w:id="1" w:name="_Toc4691_WPSOffice_Level1"/>
    </w:p>
    <w:p>
      <w:pPr>
        <w:pStyle w:val="2"/>
      </w:pPr>
    </w:p>
    <w:p>
      <w:pPr>
        <w:spacing w:line="360" w:lineRule="auto"/>
        <w:jc w:val="center"/>
        <w:rPr>
          <w:rFonts w:ascii="宋体" w:hAnsi="宋体" w:cs="宋体"/>
          <w:sz w:val="44"/>
          <w:szCs w:val="44"/>
        </w:rPr>
      </w:pPr>
      <w:r>
        <w:rPr>
          <w:rFonts w:hint="eastAsia" w:ascii="宋体" w:hAnsi="宋体" w:cs="宋体"/>
          <w:sz w:val="44"/>
          <w:szCs w:val="44"/>
        </w:rPr>
        <w:t>目录</w:t>
      </w:r>
    </w:p>
    <w:p>
      <w:pPr>
        <w:pStyle w:val="8"/>
        <w:tabs>
          <w:tab w:val="right" w:leader="dot" w:pos="8336"/>
        </w:tabs>
        <w:spacing w:line="360" w:lineRule="auto"/>
        <w:ind w:firstLine="600" w:firstLineChars="200"/>
        <w:rPr>
          <w:rFonts w:ascii="宋体" w:hAnsi="宋体" w:cs="宋体"/>
          <w:b/>
          <w:sz w:val="30"/>
          <w:szCs w:val="30"/>
        </w:rPr>
      </w:pPr>
      <w:r>
        <w:rPr>
          <w:rFonts w:hint="eastAsia" w:ascii="宋体" w:hAnsi="宋体" w:cs="宋体"/>
          <w:sz w:val="30"/>
          <w:szCs w:val="30"/>
        </w:rPr>
        <w:fldChar w:fldCharType="begin"/>
      </w:r>
      <w:r>
        <w:rPr>
          <w:rFonts w:hint="eastAsia" w:ascii="宋体" w:hAnsi="宋体" w:cs="宋体"/>
          <w:sz w:val="30"/>
          <w:szCs w:val="30"/>
        </w:rPr>
        <w:instrText xml:space="preserve">TOC \o "1-2" \h \u </w:instrText>
      </w:r>
      <w:r>
        <w:rPr>
          <w:rFonts w:hint="eastAsia" w:ascii="宋体" w:hAnsi="宋体" w:cs="宋体"/>
          <w:sz w:val="30"/>
          <w:szCs w:val="30"/>
        </w:rPr>
        <w:fldChar w:fldCharType="separate"/>
      </w:r>
      <w:r>
        <w:fldChar w:fldCharType="begin"/>
      </w:r>
      <w:r>
        <w:instrText xml:space="preserve"> HYPERLINK \l "_Toc13618" </w:instrText>
      </w:r>
      <w:r>
        <w:fldChar w:fldCharType="separate"/>
      </w:r>
      <w:r>
        <w:fldChar w:fldCharType="end"/>
      </w:r>
      <w:r>
        <w:fldChar w:fldCharType="begin"/>
      </w:r>
      <w:r>
        <w:instrText xml:space="preserve"> HYPERLINK \l "_Toc5949" </w:instrText>
      </w:r>
      <w:r>
        <w:fldChar w:fldCharType="separate"/>
      </w:r>
      <w:r>
        <w:rPr>
          <w:rFonts w:hint="eastAsia" w:ascii="宋体" w:hAnsi="宋体" w:cs="宋体"/>
          <w:b/>
          <w:snapToGrid w:val="0"/>
          <w:spacing w:val="-4"/>
          <w:sz w:val="30"/>
          <w:szCs w:val="30"/>
        </w:rPr>
        <w:t>一、单位概况</w:t>
      </w:r>
      <w:r>
        <w:rPr>
          <w:rFonts w:hint="eastAsia" w:ascii="宋体" w:hAnsi="宋体" w:cs="宋体"/>
          <w:b/>
          <w:snapToGrid w:val="0"/>
          <w:spacing w:val="-4"/>
          <w:sz w:val="30"/>
          <w:szCs w:val="30"/>
        </w:rPr>
        <w:fldChar w:fldCharType="end"/>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（一）部门职责。</w:t>
      </w:r>
    </w:p>
    <w:p>
      <w:pPr>
        <w:pStyle w:val="9"/>
        <w:tabs>
          <w:tab w:val="right" w:leader="dot" w:pos="8336"/>
        </w:tabs>
        <w:spacing w:line="360" w:lineRule="auto"/>
        <w:ind w:left="420" w:firstLine="294" w:firstLineChars="100"/>
        <w:rPr>
          <w:rFonts w:ascii="宋体" w:hAnsi="宋体" w:cs="宋体"/>
          <w:spacing w:val="-3"/>
          <w:sz w:val="30"/>
          <w:szCs w:val="30"/>
        </w:rPr>
      </w:pPr>
      <w:r>
        <w:rPr>
          <w:rFonts w:hint="eastAsia" w:ascii="宋体" w:hAnsi="宋体" w:cs="宋体"/>
          <w:spacing w:val="-3"/>
          <w:sz w:val="30"/>
          <w:szCs w:val="30"/>
        </w:rPr>
        <w:t>（二）机构设置。</w:t>
      </w:r>
    </w:p>
    <w:p>
      <w:pPr>
        <w:pStyle w:val="8"/>
        <w:tabs>
          <w:tab w:val="right" w:leader="dot" w:pos="8336"/>
        </w:tabs>
        <w:spacing w:line="360" w:lineRule="auto"/>
        <w:ind w:firstLine="600" w:firstLineChars="300"/>
        <w:rPr>
          <w:rFonts w:ascii="宋体" w:hAnsi="宋体" w:cs="宋体"/>
          <w:b/>
          <w:sz w:val="30"/>
          <w:szCs w:val="30"/>
        </w:rPr>
      </w:pPr>
      <w:r>
        <w:fldChar w:fldCharType="begin"/>
      </w:r>
      <w:r>
        <w:instrText xml:space="preserve"> HYPERLINK \l "_Toc21204" </w:instrText>
      </w:r>
      <w:r>
        <w:fldChar w:fldCharType="separate"/>
      </w:r>
      <w:r>
        <w:rPr>
          <w:rFonts w:hint="eastAsia" w:ascii="宋体" w:hAnsi="宋体" w:cs="宋体"/>
          <w:b/>
          <w:snapToGrid w:val="0"/>
          <w:spacing w:val="-4"/>
          <w:sz w:val="30"/>
          <w:szCs w:val="30"/>
        </w:rPr>
        <w:t>二、</w:t>
      </w:r>
      <w:r>
        <w:rPr>
          <w:rFonts w:hint="eastAsia" w:ascii="宋体" w:hAnsi="宋体" w:cs="宋体"/>
          <w:b/>
          <w:snapToGrid w:val="0"/>
          <w:spacing w:val="-4"/>
          <w:sz w:val="30"/>
          <w:szCs w:val="30"/>
        </w:rPr>
        <w:fldChar w:fldCharType="end"/>
      </w:r>
      <w:r>
        <w:rPr>
          <w:rFonts w:hint="eastAsia" w:ascii="宋体" w:hAnsi="宋体" w:cs="宋体"/>
          <w:b/>
          <w:sz w:val="30"/>
          <w:szCs w:val="30"/>
        </w:rPr>
        <w:t>2021年度部门决算公开报表</w:t>
      </w:r>
    </w:p>
    <w:p>
      <w:pPr>
        <w:pStyle w:val="8"/>
        <w:tabs>
          <w:tab w:val="right" w:leader="dot" w:pos="8336"/>
        </w:tabs>
        <w:spacing w:line="360" w:lineRule="auto"/>
        <w:ind w:firstLine="602" w:firstLineChars="200"/>
        <w:rPr>
          <w:rFonts w:ascii="宋体" w:hAnsi="宋体" w:cs="宋体"/>
          <w:b/>
          <w:sz w:val="30"/>
          <w:szCs w:val="30"/>
        </w:rPr>
      </w:pPr>
      <w:r>
        <w:rPr>
          <w:rFonts w:hint="eastAsia" w:ascii="宋体" w:hAnsi="宋体" w:cs="宋体"/>
          <w:b/>
          <w:sz w:val="30"/>
          <w:szCs w:val="30"/>
        </w:rPr>
        <w:t>三、2021年度部门决算情况说明</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（一）</w:t>
      </w:r>
      <w:r>
        <w:fldChar w:fldCharType="begin"/>
      </w:r>
      <w:r>
        <w:instrText xml:space="preserve"> HYPERLINK \l "_Toc8341" </w:instrText>
      </w:r>
      <w:r>
        <w:fldChar w:fldCharType="separate"/>
      </w:r>
      <w:r>
        <w:rPr>
          <w:rFonts w:hint="eastAsia" w:ascii="宋体" w:hAnsi="宋体" w:cs="宋体"/>
          <w:spacing w:val="-3"/>
          <w:sz w:val="30"/>
          <w:szCs w:val="30"/>
        </w:rPr>
        <w:t>收入支出决算总体情况说明</w:t>
      </w:r>
      <w:r>
        <w:rPr>
          <w:rFonts w:hint="eastAsia" w:ascii="宋体" w:hAnsi="宋体" w:cs="宋体"/>
          <w:spacing w:val="-3"/>
          <w:sz w:val="30"/>
          <w:szCs w:val="30"/>
        </w:rPr>
        <w:fldChar w:fldCharType="end"/>
      </w:r>
      <w:r>
        <w:rPr>
          <w:rFonts w:hint="eastAsia" w:ascii="宋体" w:hAnsi="宋体" w:cs="宋体"/>
          <w:sz w:val="30"/>
          <w:szCs w:val="30"/>
        </w:rPr>
        <w:t>。</w:t>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（二）</w:t>
      </w:r>
      <w:r>
        <w:fldChar w:fldCharType="begin"/>
      </w:r>
      <w:r>
        <w:instrText xml:space="preserve"> HYPERLINK \l "_Toc748" </w:instrText>
      </w:r>
      <w:r>
        <w:fldChar w:fldCharType="separate"/>
      </w:r>
      <w:r>
        <w:rPr>
          <w:rFonts w:hint="eastAsia" w:ascii="宋体" w:hAnsi="宋体" w:cs="宋体"/>
          <w:spacing w:val="-3"/>
          <w:sz w:val="30"/>
          <w:szCs w:val="30"/>
        </w:rPr>
        <w:t>收入决算情况说明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（三）</w:t>
      </w:r>
      <w:r>
        <w:fldChar w:fldCharType="begin"/>
      </w:r>
      <w:r>
        <w:instrText xml:space="preserve"> HYPERLINK \l "_Toc6782" </w:instrText>
      </w:r>
      <w:r>
        <w:fldChar w:fldCharType="separate"/>
      </w:r>
      <w:r>
        <w:rPr>
          <w:rFonts w:hint="eastAsia" w:ascii="宋体" w:hAnsi="宋体" w:cs="宋体"/>
          <w:spacing w:val="-3"/>
          <w:sz w:val="30"/>
          <w:szCs w:val="30"/>
        </w:rPr>
        <w:t>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（四）</w:t>
      </w:r>
      <w:r>
        <w:fldChar w:fldCharType="begin"/>
      </w:r>
      <w:r>
        <w:instrText xml:space="preserve"> HYPERLINK \l "_Toc14644" </w:instrText>
      </w:r>
      <w:r>
        <w:fldChar w:fldCharType="separate"/>
      </w:r>
      <w:r>
        <w:rPr>
          <w:rFonts w:hint="eastAsia" w:ascii="宋体" w:hAnsi="宋体" w:cs="宋体"/>
          <w:spacing w:val="-3"/>
          <w:sz w:val="30"/>
          <w:szCs w:val="30"/>
        </w:rPr>
        <w:t>财政拨款收入支出决算总体情况说明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（五）</w:t>
      </w:r>
      <w:r>
        <w:fldChar w:fldCharType="begin"/>
      </w:r>
      <w:r>
        <w:instrText xml:space="preserve"> HYPERLINK \l "_Toc2367" </w:instrText>
      </w:r>
      <w:r>
        <w:fldChar w:fldCharType="separate"/>
      </w:r>
      <w:r>
        <w:rPr>
          <w:rFonts w:hint="eastAsia" w:ascii="宋体" w:hAnsi="宋体" w:cs="宋体"/>
          <w:spacing w:val="-3"/>
          <w:sz w:val="30"/>
          <w:szCs w:val="30"/>
        </w:rPr>
        <w:t>一般公共预算财政拨款支出决算情况说明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（六）</w:t>
      </w:r>
      <w:r>
        <w:fldChar w:fldCharType="begin"/>
      </w:r>
      <w:r>
        <w:instrText xml:space="preserve"> HYPERLINK \l "_Toc16205" </w:instrText>
      </w:r>
      <w:r>
        <w:fldChar w:fldCharType="separate"/>
      </w:r>
      <w:r>
        <w:rPr>
          <w:rFonts w:hint="eastAsia" w:ascii="宋体" w:hAnsi="宋体" w:cs="宋体"/>
          <w:spacing w:val="-3"/>
          <w:sz w:val="30"/>
          <w:szCs w:val="30"/>
        </w:rPr>
        <w:t>一般公共预算财政拨款基本支出决算情况说明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（七）</w:t>
      </w:r>
      <w:r>
        <w:fldChar w:fldCharType="begin"/>
      </w:r>
      <w:r>
        <w:instrText xml:space="preserve"> HYPERLINK \l "_Toc27268" </w:instrText>
      </w:r>
      <w:r>
        <w:fldChar w:fldCharType="separate"/>
      </w:r>
      <w:r>
        <w:rPr>
          <w:rFonts w:hint="eastAsia" w:ascii="宋体" w:hAnsi="宋体" w:cs="宋体"/>
          <w:spacing w:val="-3"/>
          <w:sz w:val="30"/>
          <w:szCs w:val="30"/>
        </w:rPr>
        <w:t>一般公共预算财政拨款“三公”经费支出决算情况说明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（八）</w:t>
      </w:r>
      <w:r>
        <w:fldChar w:fldCharType="begin"/>
      </w:r>
      <w:r>
        <w:instrText xml:space="preserve"> HYPERLINK \l "_Toc233" </w:instrText>
      </w:r>
      <w:r>
        <w:fldChar w:fldCharType="separate"/>
      </w:r>
      <w:r>
        <w:rPr>
          <w:rFonts w:hint="eastAsia" w:ascii="宋体" w:hAnsi="宋体" w:cs="宋体"/>
          <w:spacing w:val="-3"/>
          <w:sz w:val="30"/>
          <w:szCs w:val="30"/>
        </w:rPr>
        <w:t>政府性基金预算收入支出决算情况说明</w:t>
      </w:r>
      <w:r>
        <w:rPr>
          <w:rFonts w:hint="eastAsia" w:ascii="宋体" w:hAnsi="宋体" w:cs="宋体"/>
          <w:sz w:val="30"/>
          <w:szCs w:val="30"/>
        </w:rPr>
        <w:t>。</w:t>
      </w:r>
      <w:r>
        <w:rPr>
          <w:rFonts w:hint="eastAsia" w:ascii="宋体" w:hAnsi="宋体" w:cs="宋体"/>
          <w:sz w:val="30"/>
          <w:szCs w:val="30"/>
        </w:rPr>
        <w:fldChar w:fldCharType="end"/>
      </w:r>
    </w:p>
    <w:p>
      <w:pPr>
        <w:pStyle w:val="9"/>
        <w:tabs>
          <w:tab w:val="right" w:leader="dot" w:pos="8336"/>
        </w:tabs>
        <w:spacing w:line="360" w:lineRule="auto"/>
        <w:ind w:left="420" w:firstLine="300" w:firstLineChars="100"/>
        <w:rPr>
          <w:rFonts w:ascii="宋体" w:hAnsi="宋体" w:cs="宋体"/>
          <w:sz w:val="30"/>
          <w:szCs w:val="30"/>
        </w:rPr>
      </w:pPr>
      <w:r>
        <w:rPr>
          <w:rFonts w:hint="eastAsia" w:ascii="宋体" w:hAnsi="宋体" w:cs="宋体"/>
          <w:sz w:val="30"/>
          <w:szCs w:val="30"/>
        </w:rPr>
        <w:t>（九）</w:t>
      </w:r>
      <w:r>
        <w:fldChar w:fldCharType="begin"/>
      </w:r>
      <w:r>
        <w:instrText xml:space="preserve"> HYPERLINK \l "_Toc13584" </w:instrText>
      </w:r>
      <w:r>
        <w:fldChar w:fldCharType="separate"/>
      </w:r>
      <w:r>
        <w:rPr>
          <w:rFonts w:hint="eastAsia" w:ascii="宋体" w:hAnsi="宋体" w:cs="宋体"/>
          <w:spacing w:val="-3"/>
          <w:sz w:val="30"/>
          <w:szCs w:val="30"/>
        </w:rPr>
        <w:t>其他重要事项的情况说明</w:t>
      </w:r>
      <w:r>
        <w:rPr>
          <w:rFonts w:hint="eastAsia" w:ascii="宋体" w:hAnsi="宋体" w:cs="宋体"/>
          <w:sz w:val="30"/>
          <w:szCs w:val="30"/>
        </w:rPr>
        <w:t>。</w:t>
      </w:r>
      <w:r>
        <w:rPr>
          <w:rFonts w:hint="eastAsia" w:ascii="宋体" w:hAnsi="宋体" w:cs="宋体"/>
          <w:sz w:val="30"/>
          <w:szCs w:val="30"/>
        </w:rPr>
        <w:fldChar w:fldCharType="end"/>
      </w:r>
    </w:p>
    <w:p>
      <w:pPr>
        <w:pStyle w:val="8"/>
        <w:tabs>
          <w:tab w:val="right" w:leader="dot" w:pos="8336"/>
        </w:tabs>
        <w:spacing w:line="360" w:lineRule="auto"/>
        <w:ind w:firstLine="300" w:firstLineChars="150"/>
        <w:rPr>
          <w:rFonts w:ascii="宋体" w:hAnsi="宋体" w:cs="宋体"/>
          <w:b/>
          <w:sz w:val="30"/>
          <w:szCs w:val="30"/>
        </w:rPr>
      </w:pPr>
      <w:r>
        <w:fldChar w:fldCharType="begin"/>
      </w:r>
      <w:r>
        <w:instrText xml:space="preserve"> HYPERLINK \l "_Toc13389" </w:instrText>
      </w:r>
      <w:r>
        <w:fldChar w:fldCharType="separate"/>
      </w:r>
      <w:r>
        <w:rPr>
          <w:rFonts w:hint="eastAsia" w:ascii="宋体" w:hAnsi="宋体" w:cs="宋体"/>
          <w:b/>
          <w:snapToGrid w:val="0"/>
          <w:spacing w:val="-4"/>
          <w:sz w:val="30"/>
          <w:szCs w:val="30"/>
        </w:rPr>
        <w:t>四、 名词解释</w:t>
      </w:r>
      <w:r>
        <w:rPr>
          <w:rFonts w:hint="eastAsia" w:ascii="宋体" w:hAnsi="宋体" w:cs="宋体"/>
          <w:b/>
          <w:snapToGrid w:val="0"/>
          <w:spacing w:val="-4"/>
          <w:sz w:val="30"/>
          <w:szCs w:val="30"/>
        </w:rPr>
        <w:fldChar w:fldCharType="end"/>
      </w:r>
    </w:p>
    <w:p>
      <w:pPr>
        <w:ind w:firstLine="3614" w:firstLineChars="1200"/>
        <w:rPr>
          <w:rFonts w:ascii="宋体" w:hAnsi="宋体" w:cs="宋体"/>
          <w:b/>
          <w:sz w:val="30"/>
          <w:szCs w:val="30"/>
        </w:rPr>
      </w:pPr>
      <w:r>
        <w:rPr>
          <w:rFonts w:hint="eastAsia" w:ascii="宋体" w:hAnsi="宋体" w:cs="宋体"/>
          <w:b/>
          <w:sz w:val="30"/>
          <w:szCs w:val="30"/>
        </w:rPr>
        <w:fldChar w:fldCharType="end"/>
      </w:r>
    </w:p>
    <w:p>
      <w:pPr>
        <w:ind w:firstLine="3744" w:firstLineChars="1200"/>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第一部分</w:t>
      </w:r>
      <w:r>
        <w:rPr>
          <w:rFonts w:ascii="黑体" w:hAnsi="黑体" w:eastAsia="黑体" w:cs="黑体"/>
          <w:snapToGrid w:val="0"/>
          <w:color w:val="000000"/>
          <w:spacing w:val="-4"/>
          <w:kern w:val="0"/>
          <w:sz w:val="32"/>
          <w:szCs w:val="32"/>
        </w:rPr>
        <w:t>概况</w:t>
      </w:r>
      <w:bookmarkEnd w:id="0"/>
      <w:bookmarkEnd w:id="1"/>
    </w:p>
    <w:p>
      <w:pPr>
        <w:numPr>
          <w:ilvl w:val="0"/>
          <w:numId w:val="1"/>
        </w:numPr>
        <w:rPr>
          <w:rFonts w:ascii="仿宋" w:hAnsi="仿宋" w:eastAsia="仿宋" w:cs="仿宋"/>
          <w:sz w:val="32"/>
          <w:szCs w:val="32"/>
        </w:rPr>
      </w:pPr>
      <w:bookmarkStart w:id="2" w:name="_Toc7430_WPSOffice_Level1"/>
      <w:r>
        <w:rPr>
          <w:rFonts w:hint="eastAsia" w:ascii="仿宋" w:hAnsi="仿宋" w:eastAsia="仿宋" w:cs="仿宋"/>
          <w:sz w:val="32"/>
          <w:szCs w:val="32"/>
        </w:rPr>
        <w:t>主要职能职责</w:t>
      </w:r>
    </w:p>
    <w:p>
      <w:pPr>
        <w:rPr>
          <w:rFonts w:ascii="仿宋" w:hAnsi="仿宋" w:eastAsia="仿宋" w:cs="仿宋"/>
          <w:sz w:val="32"/>
          <w:szCs w:val="32"/>
        </w:rPr>
      </w:pPr>
      <w:r>
        <w:rPr>
          <w:rFonts w:hint="eastAsia" w:ascii="仿宋" w:hAnsi="仿宋" w:eastAsia="仿宋" w:cs="仿宋"/>
          <w:sz w:val="32"/>
          <w:szCs w:val="32"/>
        </w:rPr>
        <w:t>1、为辖区居民提供基本医疗服务</w:t>
      </w:r>
    </w:p>
    <w:p>
      <w:pPr>
        <w:rPr>
          <w:rFonts w:ascii="仿宋" w:hAnsi="仿宋" w:eastAsia="仿宋" w:cs="仿宋"/>
          <w:sz w:val="32"/>
          <w:szCs w:val="32"/>
        </w:rPr>
      </w:pPr>
      <w:r>
        <w:rPr>
          <w:rFonts w:hint="eastAsia" w:ascii="仿宋" w:hAnsi="仿宋" w:eastAsia="仿宋" w:cs="仿宋"/>
          <w:sz w:val="32"/>
          <w:szCs w:val="32"/>
        </w:rPr>
        <w:t xml:space="preserve">2、为辖区居民提供基本公共卫生服务                          </w:t>
      </w:r>
    </w:p>
    <w:p>
      <w:pPr>
        <w:numPr>
          <w:ilvl w:val="0"/>
          <w:numId w:val="1"/>
        </w:numPr>
        <w:rPr>
          <w:rFonts w:ascii="仿宋" w:hAnsi="仿宋" w:eastAsia="仿宋" w:cs="仿宋"/>
          <w:sz w:val="32"/>
          <w:szCs w:val="32"/>
        </w:rPr>
      </w:pPr>
      <w:r>
        <w:rPr>
          <w:rFonts w:hint="eastAsia" w:ascii="仿宋" w:hAnsi="仿宋" w:eastAsia="仿宋" w:cs="仿宋"/>
          <w:sz w:val="32"/>
          <w:szCs w:val="32"/>
        </w:rPr>
        <w:t>部门机构设置</w:t>
      </w:r>
    </w:p>
    <w:p>
      <w:pPr>
        <w:spacing w:line="720" w:lineRule="exact"/>
        <w:rPr>
          <w:rFonts w:ascii="仿宋" w:hAnsi="仿宋" w:eastAsia="仿宋" w:cs="仿宋"/>
          <w:sz w:val="32"/>
          <w:szCs w:val="32"/>
        </w:rPr>
      </w:pPr>
      <w:r>
        <w:rPr>
          <w:rFonts w:hint="eastAsia" w:ascii="仿宋" w:hAnsi="仿宋" w:eastAsia="仿宋" w:cs="仿宋"/>
          <w:bCs/>
          <w:sz w:val="32"/>
          <w:szCs w:val="32"/>
        </w:rPr>
        <w:t>我单位设置</w:t>
      </w:r>
      <w:r>
        <w:rPr>
          <w:rFonts w:hint="eastAsia" w:ascii="仿宋" w:hAnsi="仿宋" w:eastAsia="仿宋" w:cs="仿宋"/>
          <w:sz w:val="32"/>
          <w:szCs w:val="32"/>
        </w:rPr>
        <w:t>科室12个(健康档案室、慢病健康管理室、全科诊室，中医诊室、艾灸理疗室、医保办-财务室，综合药房，妇幼保健室，预防接种，健康教育室，护理站，治疗观察1室)等</w:t>
      </w:r>
      <w:r>
        <w:rPr>
          <w:rFonts w:hint="eastAsia" w:ascii="仿宋" w:hAnsi="仿宋" w:eastAsia="仿宋" w:cs="仿宋"/>
          <w:bCs/>
          <w:sz w:val="32"/>
          <w:szCs w:val="32"/>
        </w:rPr>
        <w:t>。</w:t>
      </w:r>
      <w:r>
        <w:rPr>
          <w:rFonts w:hint="eastAsia" w:ascii="仿宋" w:hAnsi="仿宋" w:eastAsia="仿宋" w:cs="仿宋"/>
          <w:sz w:val="32"/>
          <w:szCs w:val="32"/>
        </w:rPr>
        <w:t>从预算单位构成看，我单位部门决算包括：本级决算。</w:t>
      </w:r>
    </w:p>
    <w:p>
      <w:pPr>
        <w:jc w:val="center"/>
        <w:rPr>
          <w:rFonts w:ascii="黑体" w:hAnsi="黑体" w:eastAsia="黑体" w:cs="黑体"/>
          <w:snapToGrid w:val="0"/>
          <w:color w:val="000000"/>
          <w:spacing w:val="-4"/>
          <w:kern w:val="0"/>
          <w:sz w:val="32"/>
          <w:szCs w:val="32"/>
        </w:rPr>
      </w:pPr>
      <w:r>
        <w:rPr>
          <w:rFonts w:hint="eastAsia" w:ascii="黑体" w:hAnsi="黑体" w:eastAsia="黑体" w:cs="黑体"/>
          <w:snapToGrid w:val="0"/>
          <w:color w:val="000000"/>
          <w:spacing w:val="-4"/>
          <w:kern w:val="0"/>
          <w:sz w:val="32"/>
          <w:szCs w:val="32"/>
        </w:rPr>
        <w:t>第二部分2021</w:t>
      </w:r>
      <w:r>
        <w:rPr>
          <w:rFonts w:ascii="黑体" w:hAnsi="黑体" w:eastAsia="黑体" w:cs="黑体"/>
          <w:snapToGrid w:val="0"/>
          <w:color w:val="000000"/>
          <w:spacing w:val="-4"/>
          <w:kern w:val="0"/>
          <w:sz w:val="32"/>
          <w:szCs w:val="32"/>
        </w:rPr>
        <w:t>年度部门决算表</w:t>
      </w:r>
      <w:bookmarkEnd w:id="2"/>
    </w:p>
    <w:p>
      <w:pPr>
        <w:rPr>
          <w:rFonts w:ascii="仿宋" w:hAnsi="仿宋" w:eastAsia="仿宋" w:cs="仿宋"/>
          <w:sz w:val="32"/>
          <w:szCs w:val="32"/>
        </w:rPr>
      </w:pPr>
      <w:r>
        <w:rPr>
          <w:rFonts w:hint="eastAsia" w:ascii="仿宋" w:hAnsi="仿宋" w:eastAsia="仿宋" w:cs="仿宋"/>
          <w:sz w:val="32"/>
          <w:szCs w:val="32"/>
        </w:rPr>
        <w:t>决算公开报表见附件：</w:t>
      </w:r>
    </w:p>
    <w:p>
      <w:pPr>
        <w:jc w:val="center"/>
        <w:rPr>
          <w:rFonts w:hint="eastAsia" w:ascii="仿宋" w:hAnsi="仿宋" w:eastAsia="仿宋" w:cs="仿宋"/>
          <w:snapToGrid w:val="0"/>
          <w:color w:val="000000"/>
          <w:spacing w:val="-4"/>
          <w:kern w:val="0"/>
          <w:sz w:val="32"/>
          <w:szCs w:val="32"/>
        </w:rPr>
      </w:pPr>
      <w:bookmarkStart w:id="3" w:name="_Toc25884_WPSOffice_Level1"/>
      <w:bookmarkStart w:id="4" w:name="_Toc17336_WPSOffice_Level1"/>
      <w:r>
        <w:rPr>
          <w:rFonts w:hint="eastAsia" w:ascii="仿宋" w:hAnsi="仿宋" w:eastAsia="仿宋" w:cs="仿宋"/>
          <w:snapToGrid w:val="0"/>
          <w:color w:val="000000"/>
          <w:spacing w:val="-4"/>
          <w:kern w:val="0"/>
          <w:sz w:val="32"/>
          <w:szCs w:val="32"/>
        </w:rPr>
        <w:t>第三部分2021年度部门决算情况说明</w:t>
      </w:r>
      <w:bookmarkEnd w:id="3"/>
      <w:bookmarkEnd w:id="4"/>
    </w:p>
    <w:p>
      <w:pPr>
        <w:numPr>
          <w:ilvl w:val="0"/>
          <w:numId w:val="2"/>
        </w:numPr>
        <w:rPr>
          <w:rFonts w:ascii="仿宋" w:hAnsi="仿宋" w:eastAsia="仿宋" w:cs="仿宋"/>
          <w:sz w:val="32"/>
          <w:szCs w:val="32"/>
        </w:rPr>
      </w:pPr>
      <w:bookmarkStart w:id="5" w:name="_Toc22880_WPSOffice_Level2"/>
      <w:bookmarkStart w:id="6" w:name="_Toc1653_WPSOffice_Level2"/>
      <w:r>
        <w:rPr>
          <w:rFonts w:hint="eastAsia" w:ascii="楷体" w:hAnsi="楷体" w:eastAsia="楷体" w:cs="楷体"/>
          <w:spacing w:val="-3"/>
          <w:sz w:val="32"/>
          <w:szCs w:val="32"/>
        </w:rPr>
        <w:t>收入支出决算总体情况说明</w:t>
      </w:r>
      <w:bookmarkEnd w:id="5"/>
      <w:bookmarkEnd w:id="6"/>
    </w:p>
    <w:p>
      <w:pPr>
        <w:spacing w:line="204" w:lineRule="auto"/>
        <w:ind w:firstLine="667"/>
        <w:jc w:val="left"/>
        <w:rPr>
          <w:rFonts w:hint="eastAsia" w:ascii="仿宋" w:hAnsi="仿宋" w:eastAsia="仿宋" w:cs="仿宋"/>
          <w:sz w:val="32"/>
          <w:szCs w:val="32"/>
        </w:rPr>
      </w:pPr>
      <w:bookmarkStart w:id="7" w:name="_Toc14383_WPSOffice_Level2"/>
      <w:r>
        <w:rPr>
          <w:rFonts w:hint="eastAsia" w:ascii="仿宋" w:hAnsi="仿宋" w:eastAsia="仿宋" w:cs="仿宋"/>
          <w:sz w:val="32"/>
          <w:szCs w:val="32"/>
        </w:rPr>
        <w:t>2021 年 度 收 入 总 计329.11万元 、 支 出 总 计329.11万元。与 2020年相比,收入总计增加31.63万元，支出总计增加31.63万元。主要原因是：1.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2021年增加社群健康助理员18人工资及保险3.基本公共卫生服务项目标准提高，4.基本药物补助标准提高</w:t>
      </w:r>
      <w:r>
        <w:rPr>
          <w:rFonts w:hint="eastAsia" w:ascii="仿宋" w:hAnsi="仿宋" w:eastAsia="仿宋" w:cs="仿宋"/>
          <w:sz w:val="32"/>
          <w:szCs w:val="32"/>
        </w:rPr>
        <w:t>。</w:t>
      </w:r>
    </w:p>
    <w:p>
      <w:pPr>
        <w:spacing w:line="204" w:lineRule="auto"/>
        <w:ind w:firstLine="667"/>
        <w:jc w:val="left"/>
        <w:rPr>
          <w:rFonts w:ascii="楷体" w:hAnsi="楷体" w:eastAsia="楷体" w:cs="楷体"/>
          <w:spacing w:val="-2"/>
          <w:sz w:val="32"/>
          <w:szCs w:val="32"/>
        </w:rPr>
      </w:pPr>
      <w:r>
        <w:rPr>
          <w:rFonts w:hint="eastAsia" w:ascii="楷体" w:hAnsi="楷体" w:eastAsia="楷体" w:cs="楷体"/>
          <w:spacing w:val="-3"/>
          <w:sz w:val="32"/>
          <w:szCs w:val="32"/>
        </w:rPr>
        <w:t>二、</w:t>
      </w:r>
      <w:r>
        <w:rPr>
          <w:rFonts w:ascii="楷体" w:hAnsi="楷体" w:eastAsia="楷体" w:cs="楷体"/>
          <w:spacing w:val="-3"/>
          <w:sz w:val="32"/>
          <w:szCs w:val="32"/>
        </w:rPr>
        <w:t>收入决算情况说明</w:t>
      </w:r>
      <w:bookmarkEnd w:id="7"/>
    </w:p>
    <w:p>
      <w:pPr>
        <w:spacing w:line="204" w:lineRule="auto"/>
        <w:ind w:firstLine="667"/>
        <w:jc w:val="left"/>
        <w:rPr>
          <w:rFonts w:ascii="仿宋" w:hAnsi="仿宋" w:eastAsia="仿宋" w:cs="仿宋"/>
          <w:spacing w:val="-4"/>
          <w:sz w:val="32"/>
          <w:szCs w:val="32"/>
        </w:rPr>
      </w:pPr>
      <w:bookmarkStart w:id="8" w:name="_Toc504_WPSOffice_Level2"/>
      <w:bookmarkStart w:id="9" w:name="_Toc6621_WPSOffice_Level2"/>
      <w:r>
        <w:rPr>
          <w:rFonts w:hint="eastAsia" w:ascii="宋体" w:hAnsi="宋体" w:eastAsia="仿宋_GB2312" w:cs="Times New Roman"/>
          <w:sz w:val="32"/>
          <w:szCs w:val="32"/>
        </w:rPr>
        <w:t>本年收入合计329.11万元，其中：财政拨款收入329.11万元;上级补助收入0万元；事业收入 0万元；经营收入0万元；附属单位上缴收入 0万元；其他收入0万元。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三、支出决算情况说明</w:t>
      </w:r>
      <w:bookmarkEnd w:id="8"/>
      <w:bookmarkEnd w:id="9"/>
    </w:p>
    <w:p>
      <w:pPr>
        <w:ind w:firstLine="640" w:firstLineChars="200"/>
        <w:rPr>
          <w:rFonts w:ascii="宋体" w:hAnsi="宋体" w:eastAsia="宋体" w:cs="Arial"/>
          <w:color w:val="000000"/>
          <w:kern w:val="0"/>
          <w:sz w:val="30"/>
          <w:szCs w:val="30"/>
        </w:rPr>
      </w:pPr>
      <w:bookmarkStart w:id="10" w:name="_Toc32119_WPSOffice_Level2"/>
      <w:bookmarkStart w:id="11" w:name="_Toc8754_WPSOffice_Level2"/>
      <w:r>
        <w:rPr>
          <w:rFonts w:hint="eastAsia" w:ascii="宋体" w:hAnsi="宋体" w:eastAsia="仿宋_GB2312" w:cs="Times New Roman"/>
          <w:sz w:val="32"/>
          <w:szCs w:val="32"/>
        </w:rPr>
        <w:t>本年支出合计329.11万元 ，其中：基本支出</w:t>
      </w:r>
      <w:r>
        <w:rPr>
          <w:rFonts w:hint="eastAsia" w:ascii="宋体" w:hAnsi="宋体" w:eastAsia="宋体" w:cs="Arial"/>
          <w:color w:val="000000"/>
          <w:kern w:val="0"/>
          <w:sz w:val="32"/>
          <w:szCs w:val="32"/>
        </w:rPr>
        <w:t>26.93</w:t>
      </w:r>
    </w:p>
    <w:p>
      <w:pPr>
        <w:rPr>
          <w:rFonts w:ascii="仿宋" w:hAnsi="仿宋" w:eastAsia="仿宋" w:cs="仿宋"/>
          <w:sz w:val="32"/>
          <w:szCs w:val="32"/>
        </w:rPr>
      </w:pPr>
      <w:r>
        <w:rPr>
          <w:rFonts w:hint="eastAsia" w:ascii="宋体" w:hAnsi="宋体" w:eastAsia="仿宋_GB2312" w:cs="Times New Roman"/>
          <w:sz w:val="32"/>
          <w:szCs w:val="32"/>
        </w:rPr>
        <w:t>万元 ；项目支出</w:t>
      </w:r>
      <w:r>
        <w:rPr>
          <w:rFonts w:hint="eastAsia" w:ascii="仿宋" w:hAnsi="仿宋" w:eastAsia="仿宋" w:cs="仿宋"/>
          <w:sz w:val="32"/>
          <w:szCs w:val="32"/>
        </w:rPr>
        <w:t>302.17</w:t>
      </w:r>
      <w:r>
        <w:rPr>
          <w:rFonts w:hint="eastAsia" w:ascii="宋体" w:hAnsi="宋体" w:eastAsia="仿宋_GB2312" w:cs="Times New Roman"/>
          <w:sz w:val="32"/>
          <w:szCs w:val="32"/>
        </w:rPr>
        <w:t>万元；上缴上级支出0万元，经营支出0万元；对附属单位补助支出0万元。</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四、财政拨款收入支出决算总体情况说明</w:t>
      </w:r>
      <w:bookmarkEnd w:id="10"/>
      <w:bookmarkEnd w:id="11"/>
    </w:p>
    <w:p>
      <w:pPr>
        <w:spacing w:line="204" w:lineRule="auto"/>
        <w:ind w:firstLine="667"/>
        <w:jc w:val="left"/>
        <w:rPr>
          <w:rFonts w:ascii="宋体" w:hAnsi="宋体" w:eastAsia="仿宋_GB2312" w:cs="Times New Roman"/>
          <w:sz w:val="32"/>
          <w:szCs w:val="32"/>
        </w:rPr>
      </w:pPr>
      <w:bookmarkStart w:id="12" w:name="_Toc2892_WPSOffice_Level2"/>
      <w:bookmarkStart w:id="13" w:name="_Toc23250_WPSOffice_Level2"/>
      <w:r>
        <w:rPr>
          <w:rFonts w:hint="eastAsia" w:ascii="宋体" w:hAnsi="宋体" w:eastAsia="仿宋_GB2312" w:cs="Times New Roman"/>
          <w:sz w:val="32"/>
          <w:szCs w:val="32"/>
        </w:rPr>
        <w:t>2021 年度财政拨款收入总计</w:t>
      </w:r>
      <w:r>
        <w:rPr>
          <w:rFonts w:hint="eastAsia" w:ascii="仿宋" w:hAnsi="仿宋" w:eastAsia="仿宋" w:cs="仿宋"/>
          <w:sz w:val="32"/>
          <w:szCs w:val="32"/>
        </w:rPr>
        <w:t>329.11</w:t>
      </w:r>
      <w:r>
        <w:rPr>
          <w:rFonts w:hint="eastAsia" w:ascii="宋体" w:hAnsi="宋体" w:eastAsia="仿宋_GB2312" w:cs="Times New Roman"/>
          <w:sz w:val="32"/>
          <w:szCs w:val="32"/>
        </w:rPr>
        <w:t>万元、支出总计329.11万元。</w:t>
      </w:r>
      <w:r>
        <w:rPr>
          <w:rFonts w:hint="eastAsia" w:ascii="仿宋" w:hAnsi="仿宋" w:eastAsia="仿宋" w:cs="仿宋"/>
          <w:sz w:val="32"/>
          <w:szCs w:val="32"/>
        </w:rPr>
        <w:t>与 2020 年相比，财政拨款收入总计增加31.63万元，增长</w:t>
      </w:r>
      <w:r>
        <w:rPr>
          <w:rFonts w:hint="eastAsia" w:ascii="仿宋" w:hAnsi="仿宋" w:eastAsia="仿宋" w:cs="仿宋"/>
          <w:sz w:val="32"/>
          <w:szCs w:val="32"/>
          <w:lang w:val="en-US" w:eastAsia="zh-CN"/>
        </w:rPr>
        <w:t>10.63</w:t>
      </w:r>
      <w:r>
        <w:rPr>
          <w:rFonts w:hint="eastAsia" w:ascii="仿宋" w:hAnsi="仿宋" w:eastAsia="仿宋" w:cs="仿宋"/>
          <w:sz w:val="32"/>
          <w:szCs w:val="32"/>
        </w:rPr>
        <w:t>%。主要原因是：1.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2021年增加社群健康助理员27人工资及保险3.基本公共卫生服务项目标准提高，4.基本药物补助标准提高</w:t>
      </w:r>
      <w:r>
        <w:rPr>
          <w:rFonts w:hint="eastAsia" w:ascii="仿宋" w:hAnsi="仿宋" w:eastAsia="仿宋" w:cs="仿宋"/>
          <w:sz w:val="32"/>
          <w:szCs w:val="32"/>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五、一般公共预算财政拨款支出决算情况说明</w:t>
      </w:r>
      <w:bookmarkEnd w:id="12"/>
      <w:bookmarkEnd w:id="13"/>
    </w:p>
    <w:p>
      <w:pPr>
        <w:rPr>
          <w:rFonts w:ascii="宋体" w:hAnsi="宋体" w:eastAsia="仿宋_GB2312" w:cs="Times New Roman"/>
          <w:sz w:val="32"/>
          <w:szCs w:val="32"/>
        </w:rPr>
      </w:pPr>
      <w:r>
        <w:rPr>
          <w:rFonts w:hint="eastAsia" w:ascii="宋体" w:hAnsi="宋体" w:eastAsia="仿宋_GB2312" w:cs="Times New Roman"/>
          <w:sz w:val="32"/>
          <w:szCs w:val="32"/>
        </w:rPr>
        <w:t>1.财政拨款支出决算总体情况</w:t>
      </w:r>
    </w:p>
    <w:p>
      <w:pPr>
        <w:spacing w:line="204" w:lineRule="auto"/>
        <w:ind w:firstLine="667"/>
        <w:jc w:val="left"/>
        <w:rPr>
          <w:rFonts w:hint="eastAsia" w:ascii="仿宋" w:hAnsi="仿宋" w:eastAsia="仿宋" w:cs="仿宋"/>
          <w:sz w:val="32"/>
          <w:szCs w:val="32"/>
        </w:rPr>
      </w:pPr>
      <w:r>
        <w:rPr>
          <w:rFonts w:hint="eastAsia" w:ascii="宋体" w:hAnsi="宋体" w:eastAsia="仿宋_GB2312" w:cs="Times New Roman"/>
          <w:sz w:val="32"/>
          <w:szCs w:val="32"/>
        </w:rPr>
        <w:t>2021年度财政拨款支出329.11万元，与 2020 年相比，财政拨款支出增加31.63万元。</w:t>
      </w:r>
      <w:r>
        <w:rPr>
          <w:rFonts w:hint="eastAsia" w:ascii="仿宋" w:hAnsi="仿宋" w:eastAsia="仿宋" w:cs="仿宋"/>
          <w:sz w:val="32"/>
          <w:szCs w:val="32"/>
        </w:rPr>
        <w:t>主要原因是：1.</w:t>
      </w:r>
      <w:r>
        <w:rPr>
          <w:rFonts w:hint="eastAsia" w:ascii="仿宋" w:hAnsi="仿宋" w:eastAsia="仿宋" w:cs="仿宋"/>
          <w:bCs/>
          <w:sz w:val="30"/>
          <w:szCs w:val="30"/>
        </w:rPr>
        <w:t>旧体制遗留卫生集体退休人员增资，2</w:t>
      </w:r>
      <w:r>
        <w:rPr>
          <w:rFonts w:hint="eastAsia" w:ascii="仿宋" w:hAnsi="仿宋" w:eastAsia="仿宋" w:cs="仿宋"/>
          <w:b/>
          <w:bCs/>
          <w:sz w:val="30"/>
          <w:szCs w:val="30"/>
        </w:rPr>
        <w:t>.</w:t>
      </w:r>
      <w:r>
        <w:rPr>
          <w:rFonts w:hint="eastAsia" w:ascii="仿宋" w:hAnsi="仿宋" w:eastAsia="仿宋" w:cs="仿宋"/>
          <w:bCs/>
          <w:sz w:val="30"/>
          <w:szCs w:val="30"/>
        </w:rPr>
        <w:t>2021年增加社群健康助理员18人工资及保险3.基本公共卫生服务项目标准提高，4.基本药物补助标准提高。</w:t>
      </w:r>
    </w:p>
    <w:p>
      <w:pPr>
        <w:rPr>
          <w:rFonts w:ascii="宋体" w:hAnsi="宋体" w:eastAsia="仿宋_GB2312" w:cs="Times New Roman"/>
          <w:sz w:val="32"/>
          <w:szCs w:val="32"/>
        </w:rPr>
      </w:pPr>
      <w:r>
        <w:rPr>
          <w:rFonts w:hint="eastAsia" w:ascii="宋体" w:hAnsi="宋体" w:eastAsia="仿宋_GB2312" w:cs="Times New Roman"/>
          <w:sz w:val="32"/>
          <w:szCs w:val="32"/>
        </w:rPr>
        <w:t>2.财政拨款支出决算结构情况</w:t>
      </w:r>
    </w:p>
    <w:p>
      <w:pPr>
        <w:spacing w:line="360" w:lineRule="auto"/>
        <w:ind w:firstLine="640" w:firstLineChars="200"/>
        <w:rPr>
          <w:rFonts w:ascii="仿宋" w:hAnsi="仿宋" w:eastAsia="仿宋" w:cs="仿宋"/>
          <w:sz w:val="32"/>
          <w:szCs w:val="32"/>
        </w:rPr>
      </w:pPr>
      <w:bookmarkStart w:id="14" w:name="_Toc1066_WPSOffice_Level2"/>
      <w:bookmarkStart w:id="15" w:name="_Toc27424_WPSOffice_Level2"/>
      <w:r>
        <w:rPr>
          <w:rFonts w:hint="eastAsia" w:ascii="宋体" w:hAnsi="宋体" w:eastAsia="仿宋_GB2312" w:cs="Times New Roman"/>
          <w:sz w:val="32"/>
          <w:szCs w:val="32"/>
        </w:rPr>
        <w:t>2021 年度财政拨款支出</w:t>
      </w:r>
      <w:r>
        <w:rPr>
          <w:rFonts w:hint="eastAsia" w:ascii="仿宋" w:hAnsi="仿宋" w:eastAsia="仿宋" w:cs="仿宋"/>
          <w:sz w:val="32"/>
          <w:szCs w:val="32"/>
        </w:rPr>
        <w:t>329.11</w:t>
      </w:r>
      <w:r>
        <w:rPr>
          <w:rFonts w:hint="eastAsia" w:ascii="宋体" w:hAnsi="宋体" w:eastAsia="仿宋_GB2312" w:cs="Times New Roman"/>
          <w:sz w:val="32"/>
          <w:szCs w:val="32"/>
        </w:rPr>
        <w:t>万元，主要用于以下方面：2100302基层医疗卫生机构科目支出115.02万元，占34.94%；2100399其他基层医疗卫生机构支出58.86占17.88%，2100408公共卫生科目支出135.44万元，占41.15%；2109999其他卫生健康支出科目支出19.78万元，占6.01%。</w:t>
      </w:r>
    </w:p>
    <w:p>
      <w:pPr>
        <w:rPr>
          <w:rFonts w:ascii="宋体" w:hAnsi="宋体" w:eastAsia="仿宋_GB2312" w:cs="Times New Roman"/>
          <w:sz w:val="32"/>
          <w:szCs w:val="32"/>
        </w:rPr>
      </w:pPr>
      <w:r>
        <w:rPr>
          <w:rFonts w:hint="eastAsia" w:ascii="宋体" w:hAnsi="宋体" w:eastAsia="仿宋_GB2312" w:cs="Times New Roman"/>
          <w:sz w:val="32"/>
          <w:szCs w:val="32"/>
        </w:rPr>
        <w:t>3.一般公共预算财政拨款支出决算具体情况。</w:t>
      </w:r>
    </w:p>
    <w:p>
      <w:pPr>
        <w:ind w:firstLine="640" w:firstLineChars="200"/>
        <w:rPr>
          <w:rFonts w:ascii="仿宋" w:hAnsi="仿宋" w:eastAsia="仿宋" w:cs="仿宋"/>
          <w:spacing w:val="4"/>
          <w:sz w:val="32"/>
          <w:szCs w:val="32"/>
        </w:rPr>
      </w:pPr>
      <w:r>
        <w:rPr>
          <w:rFonts w:hint="eastAsia" w:ascii="宋体" w:hAnsi="宋体" w:eastAsia="仿宋_GB2312" w:cs="Times New Roman"/>
          <w:sz w:val="32"/>
          <w:szCs w:val="32"/>
        </w:rPr>
        <w:t>2021年度一般公共预算财政拨款支出当年调整预算数329.11万元，支出决算为329.11万元，完成当年调整预算的100%。</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六、一般公共预算财政拨款基本支出决算情况说明</w:t>
      </w:r>
      <w:bookmarkEnd w:id="14"/>
      <w:bookmarkEnd w:id="15"/>
    </w:p>
    <w:p>
      <w:pPr>
        <w:ind w:firstLine="640" w:firstLineChars="200"/>
        <w:rPr>
          <w:rFonts w:ascii="宋体" w:hAnsi="宋体" w:eastAsia="仿宋_GB2312" w:cs="Times New Roman"/>
          <w:sz w:val="32"/>
          <w:szCs w:val="32"/>
        </w:rPr>
      </w:pPr>
      <w:bookmarkStart w:id="16" w:name="_Toc21993_WPSOffice_Level2"/>
      <w:bookmarkStart w:id="17" w:name="_Toc28951_WPSOffice_Level2"/>
      <w:r>
        <w:rPr>
          <w:rFonts w:hint="eastAsia" w:ascii="宋体" w:hAnsi="宋体" w:eastAsia="仿宋_GB2312" w:cs="Times New Roman"/>
          <w:sz w:val="32"/>
          <w:szCs w:val="32"/>
        </w:rPr>
        <w:t>2021 年度财政拨款基本支出26.93万元，其中：人员经费</w:t>
      </w:r>
      <w:r>
        <w:rPr>
          <w:rFonts w:hint="eastAsia" w:ascii="仿宋" w:hAnsi="仿宋" w:eastAsia="仿宋" w:cs="仿宋"/>
          <w:spacing w:val="4"/>
          <w:sz w:val="32"/>
          <w:szCs w:val="32"/>
        </w:rPr>
        <w:t>26.93</w:t>
      </w:r>
      <w:r>
        <w:rPr>
          <w:rFonts w:hint="eastAsia" w:ascii="宋体" w:hAnsi="宋体" w:eastAsia="仿宋_GB2312" w:cs="Times New Roman"/>
          <w:sz w:val="32"/>
          <w:szCs w:val="32"/>
        </w:rPr>
        <w:t>万元，主要包括工资福利支出</w:t>
      </w:r>
      <w:r>
        <w:rPr>
          <w:rFonts w:hint="eastAsia" w:ascii="仿宋" w:hAnsi="仿宋" w:eastAsia="仿宋" w:cs="仿宋"/>
          <w:spacing w:val="4"/>
          <w:sz w:val="32"/>
          <w:szCs w:val="32"/>
        </w:rPr>
        <w:t>25.95</w:t>
      </w:r>
      <w:r>
        <w:rPr>
          <w:rFonts w:hint="eastAsia" w:ascii="宋体" w:hAnsi="宋体" w:eastAsia="仿宋_GB2312" w:cs="Times New Roman"/>
          <w:sz w:val="32"/>
          <w:szCs w:val="32"/>
        </w:rPr>
        <w:t>万元和对个人和家庭的补助</w:t>
      </w:r>
      <w:r>
        <w:rPr>
          <w:rFonts w:hint="eastAsia" w:ascii="仿宋" w:hAnsi="仿宋" w:eastAsia="仿宋" w:cs="仿宋"/>
          <w:spacing w:val="4"/>
          <w:sz w:val="32"/>
          <w:szCs w:val="32"/>
        </w:rPr>
        <w:t>0.98</w:t>
      </w:r>
      <w:r>
        <w:rPr>
          <w:rFonts w:hint="eastAsia" w:ascii="宋体" w:hAnsi="宋体" w:eastAsia="仿宋_GB2312" w:cs="Times New Roman"/>
          <w:sz w:val="32"/>
          <w:szCs w:val="32"/>
        </w:rPr>
        <w:t>万元；公用经费</w:t>
      </w:r>
      <w:r>
        <w:rPr>
          <w:rFonts w:hint="eastAsia" w:ascii="仿宋" w:hAnsi="仿宋" w:eastAsia="仿宋" w:cs="仿宋"/>
          <w:spacing w:val="4"/>
          <w:sz w:val="32"/>
          <w:szCs w:val="32"/>
        </w:rPr>
        <w:t>0</w:t>
      </w:r>
      <w:r>
        <w:rPr>
          <w:rFonts w:hint="eastAsia" w:ascii="宋体" w:hAnsi="宋体" w:eastAsia="仿宋_GB2312" w:cs="Times New Roman"/>
          <w:sz w:val="32"/>
          <w:szCs w:val="32"/>
        </w:rPr>
        <w:t xml:space="preserve">万元，主要包括商品和服务支出 </w:t>
      </w:r>
      <w:r>
        <w:rPr>
          <w:rFonts w:hint="eastAsia" w:ascii="仿宋" w:hAnsi="仿宋" w:eastAsia="仿宋" w:cs="仿宋"/>
          <w:spacing w:val="4"/>
          <w:sz w:val="32"/>
          <w:szCs w:val="32"/>
        </w:rPr>
        <w:t>0</w:t>
      </w:r>
      <w:r>
        <w:rPr>
          <w:rFonts w:hint="eastAsia" w:ascii="宋体" w:hAnsi="宋体" w:eastAsia="仿宋_GB2312" w:cs="Times New Roman"/>
          <w:sz w:val="32"/>
          <w:szCs w:val="32"/>
        </w:rPr>
        <w:t>万元和资本性支出</w:t>
      </w:r>
      <w:r>
        <w:rPr>
          <w:rFonts w:hint="eastAsia" w:ascii="仿宋" w:hAnsi="仿宋" w:eastAsia="仿宋" w:cs="仿宋"/>
          <w:spacing w:val="4"/>
          <w:sz w:val="32"/>
          <w:szCs w:val="32"/>
        </w:rPr>
        <w:t>0</w:t>
      </w:r>
      <w:r>
        <w:rPr>
          <w:rFonts w:hint="eastAsia" w:ascii="宋体" w:hAnsi="宋体" w:eastAsia="仿宋_GB2312" w:cs="Times New Roman"/>
          <w:sz w:val="32"/>
          <w:szCs w:val="32"/>
        </w:rPr>
        <w:t>万元。</w:t>
      </w:r>
    </w:p>
    <w:p>
      <w:pPr>
        <w:spacing w:line="204" w:lineRule="auto"/>
        <w:ind w:left="628" w:hanging="628" w:hangingChars="200"/>
        <w:jc w:val="left"/>
        <w:rPr>
          <w:rFonts w:ascii="楷体" w:hAnsi="楷体" w:eastAsia="楷体" w:cs="楷体"/>
          <w:spacing w:val="-3"/>
          <w:sz w:val="32"/>
          <w:szCs w:val="32"/>
        </w:rPr>
      </w:pPr>
      <w:r>
        <w:rPr>
          <w:rFonts w:hint="eastAsia" w:ascii="楷体" w:hAnsi="楷体" w:eastAsia="楷体" w:cs="楷体"/>
          <w:spacing w:val="-3"/>
          <w:sz w:val="32"/>
          <w:szCs w:val="32"/>
        </w:rPr>
        <w:t>七、一般公共预算财政拨款“三公”经费支出决算情况说明</w:t>
      </w:r>
      <w:bookmarkEnd w:id="16"/>
      <w:bookmarkEnd w:id="17"/>
      <w:r>
        <w:rPr>
          <w:rFonts w:hint="eastAsia" w:ascii="楷体" w:hAnsi="楷体" w:eastAsia="楷体" w:cs="楷体"/>
          <w:spacing w:val="-3"/>
          <w:sz w:val="32"/>
          <w:szCs w:val="32"/>
        </w:rPr>
        <w:t>2021年我单位无三公经费。</w:t>
      </w:r>
    </w:p>
    <w:p>
      <w:pPr>
        <w:numPr>
          <w:ilvl w:val="0"/>
          <w:numId w:val="3"/>
        </w:num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政府性基金预算收入支出决算情况说明</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2021年我单位无政府性基金预算财政拨款</w:t>
      </w:r>
      <w:r>
        <w:rPr>
          <w:rFonts w:hint="eastAsia" w:ascii="宋体" w:hAnsi="宋体" w:eastAsia="仿宋_GB2312" w:cs="Times New Roman"/>
          <w:sz w:val="32"/>
          <w:szCs w:val="32"/>
          <w:lang w:eastAsia="zh-CN"/>
        </w:rPr>
        <w:t>。</w:t>
      </w:r>
    </w:p>
    <w:p>
      <w:pPr>
        <w:ind w:firstLine="628" w:firstLineChars="200"/>
        <w:rPr>
          <w:rFonts w:ascii="楷体" w:hAnsi="楷体" w:eastAsia="楷体" w:cs="楷体"/>
          <w:spacing w:val="-3"/>
          <w:sz w:val="32"/>
          <w:szCs w:val="32"/>
        </w:rPr>
      </w:pPr>
      <w:r>
        <w:rPr>
          <w:rFonts w:hint="eastAsia" w:ascii="楷体" w:hAnsi="楷体" w:eastAsia="楷体" w:cs="楷体"/>
          <w:spacing w:val="-3"/>
          <w:sz w:val="32"/>
          <w:szCs w:val="32"/>
        </w:rPr>
        <w:t>其他重要事项的情况说明</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1.机关运行经费支出情况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我单位无单位机关运行经费</w:t>
      </w:r>
      <w:r>
        <w:rPr>
          <w:rFonts w:hint="eastAsia" w:ascii="宋体" w:hAnsi="宋体" w:eastAsia="仿宋_GB2312" w:cs="Times New Roman"/>
          <w:sz w:val="32"/>
          <w:szCs w:val="32"/>
          <w:lang w:eastAsia="zh-CN"/>
        </w:rPr>
        <w:t>。</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2.政府采购支出情况</w:t>
      </w:r>
    </w:p>
    <w:p>
      <w:pPr>
        <w:ind w:firstLine="640" w:firstLineChars="200"/>
        <w:rPr>
          <w:rFonts w:ascii="宋体" w:hAnsi="宋体" w:eastAsia="仿宋_GB2312" w:cs="Times New Roman"/>
          <w:sz w:val="32"/>
          <w:szCs w:val="32"/>
        </w:rPr>
      </w:pPr>
      <w:r>
        <w:rPr>
          <w:rFonts w:hint="eastAsia" w:ascii="宋体" w:hAnsi="宋体" w:eastAsia="仿宋_GB2312" w:cs="Times New Roman"/>
          <w:sz w:val="32"/>
          <w:szCs w:val="32"/>
        </w:rPr>
        <w:t>2021年我单位无政府采购。</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3、国有资产占有情况</w:t>
      </w:r>
    </w:p>
    <w:p>
      <w:pPr>
        <w:ind w:firstLine="640" w:firstLineChars="200"/>
        <w:rPr>
          <w:rFonts w:hint="eastAsia" w:ascii="宋体" w:hAnsi="宋体" w:eastAsia="仿宋_GB2312" w:cs="Times New Roman"/>
          <w:sz w:val="32"/>
          <w:szCs w:val="32"/>
          <w:lang w:eastAsia="zh-CN"/>
        </w:rPr>
      </w:pPr>
      <w:r>
        <w:rPr>
          <w:rFonts w:hint="eastAsia" w:ascii="宋体" w:hAnsi="宋体" w:eastAsia="仿宋_GB2312" w:cs="Times New Roman"/>
          <w:sz w:val="32"/>
          <w:szCs w:val="32"/>
        </w:rPr>
        <w:t>截至2021年12月31日，本部门共有车辆0辆，其中，主要领导干部用车0辆、机要通信用车0辆、应急保障用车0辆、执法执勤用车0辆、特种专业技术用车0辆、离退休干部用车0辆、其他用车0辆， 单价50万元（含）以上的通用设备</w:t>
      </w:r>
      <w:r>
        <w:rPr>
          <w:rFonts w:hint="eastAsia" w:ascii="宋体" w:hAnsi="宋体" w:eastAsia="仿宋_GB2312" w:cs="Times New Roman"/>
          <w:sz w:val="32"/>
          <w:szCs w:val="32"/>
          <w:lang w:val="en-US" w:eastAsia="zh-CN"/>
        </w:rPr>
        <w:t>0</w:t>
      </w:r>
      <w:r>
        <w:rPr>
          <w:rFonts w:hint="eastAsia" w:ascii="宋体" w:hAnsi="宋体" w:eastAsia="仿宋_GB2312" w:cs="Times New Roman"/>
          <w:sz w:val="32"/>
          <w:szCs w:val="32"/>
        </w:rPr>
        <w:t>台（套）， 单价100万元（含）以上专用设备0台（套）。我单位无国有资产占用</w:t>
      </w:r>
      <w:r>
        <w:rPr>
          <w:rFonts w:hint="eastAsia" w:ascii="宋体" w:hAnsi="宋体" w:eastAsia="仿宋_GB2312" w:cs="Times New Roman"/>
          <w:sz w:val="32"/>
          <w:szCs w:val="32"/>
          <w:lang w:eastAsia="zh-CN"/>
        </w:rPr>
        <w:t>。</w:t>
      </w:r>
    </w:p>
    <w:p>
      <w:pPr>
        <w:ind w:firstLine="628" w:firstLineChars="200"/>
        <w:rPr>
          <w:rFonts w:ascii="楷体" w:hAnsi="楷体" w:eastAsia="楷体" w:cs="楷体"/>
          <w:spacing w:val="-3"/>
          <w:sz w:val="32"/>
          <w:szCs w:val="32"/>
        </w:rPr>
      </w:pPr>
      <w:r>
        <w:rPr>
          <w:rFonts w:hint="eastAsia" w:ascii="楷体" w:hAnsi="楷体" w:eastAsia="楷体" w:cs="楷体"/>
          <w:spacing w:val="-3"/>
          <w:sz w:val="32"/>
          <w:szCs w:val="32"/>
        </w:rPr>
        <w:t>绩效管理情况</w:t>
      </w:r>
      <w:bookmarkStart w:id="20" w:name="_GoBack"/>
      <w:bookmarkEnd w:id="20"/>
    </w:p>
    <w:p>
      <w:pPr>
        <w:rPr>
          <w:rFonts w:ascii="宋体" w:hAnsi="宋体" w:eastAsia="仿宋_GB2312" w:cs="Times New Roman"/>
          <w:sz w:val="32"/>
          <w:szCs w:val="32"/>
        </w:rPr>
      </w:pPr>
      <w:r>
        <w:rPr>
          <w:rFonts w:hint="eastAsia" w:ascii="宋体" w:hAnsi="宋体" w:eastAsia="仿宋_GB2312" w:cs="Times New Roman"/>
          <w:sz w:val="32"/>
          <w:szCs w:val="32"/>
        </w:rPr>
        <w:t>(1)项目绩效评价工作开展情况，包括项目绩效目标、支出绩效评价等情况。</w:t>
      </w:r>
    </w:p>
    <w:p>
      <w:pPr>
        <w:rPr>
          <w:rFonts w:ascii="宋体" w:hAnsi="宋体" w:eastAsia="仿宋_GB2312" w:cs="Times New Roman"/>
          <w:sz w:val="32"/>
          <w:szCs w:val="32"/>
        </w:rPr>
      </w:pPr>
      <w:r>
        <w:rPr>
          <w:rFonts w:hint="eastAsia" w:ascii="宋体" w:hAnsi="宋体" w:eastAsia="仿宋_GB2312" w:cs="Times New Roman"/>
          <w:sz w:val="32"/>
          <w:szCs w:val="32"/>
        </w:rPr>
        <w:t>2021年度单位实行绩效目标管理的项目</w:t>
      </w:r>
      <w:r>
        <w:rPr>
          <w:rFonts w:hint="eastAsia" w:ascii="宋体" w:hAnsi="宋体" w:eastAsia="仿宋_GB2312" w:cs="Times New Roman"/>
          <w:sz w:val="32"/>
          <w:szCs w:val="32"/>
          <w:lang w:val="en-US" w:eastAsia="zh-CN"/>
        </w:rPr>
        <w:t>3</w:t>
      </w:r>
      <w:r>
        <w:rPr>
          <w:rFonts w:hint="eastAsia" w:ascii="宋体" w:hAnsi="宋体" w:eastAsia="仿宋_GB2312" w:cs="Times New Roman"/>
          <w:sz w:val="32"/>
          <w:szCs w:val="32"/>
        </w:rPr>
        <w:t>个，</w:t>
      </w:r>
    </w:p>
    <w:p>
      <w:pPr>
        <w:rPr>
          <w:rFonts w:ascii="宋体" w:hAnsi="宋体" w:eastAsia="仿宋_GB2312" w:cs="Times New Roman"/>
          <w:sz w:val="32"/>
          <w:szCs w:val="32"/>
        </w:rPr>
      </w:pPr>
      <w:r>
        <w:rPr>
          <w:rFonts w:hint="eastAsia" w:ascii="宋体" w:hAnsi="宋体" w:eastAsia="仿宋_GB2312" w:cs="Times New Roman"/>
          <w:sz w:val="32"/>
          <w:szCs w:val="32"/>
        </w:rPr>
        <w:t>涉及一般公共预算当年拨款302.17万元。</w:t>
      </w:r>
    </w:p>
    <w:p>
      <w:pPr>
        <w:rPr>
          <w:rFonts w:ascii="宋体" w:hAnsi="宋体" w:eastAsia="仿宋_GB2312" w:cs="Times New Roman"/>
          <w:sz w:val="32"/>
          <w:szCs w:val="32"/>
        </w:rPr>
      </w:pPr>
      <w:r>
        <w:rPr>
          <w:rFonts w:hint="eastAsia" w:ascii="宋体" w:hAnsi="宋体" w:eastAsia="仿宋_GB2312" w:cs="Times New Roman"/>
          <w:sz w:val="32"/>
          <w:szCs w:val="32"/>
        </w:rPr>
        <w:t>(2)绩效评价工作取得的成效。</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1、</w:t>
      </w:r>
      <w:r>
        <w:rPr>
          <w:rFonts w:hint="eastAsia" w:ascii="仿宋_GB2312" w:hAnsi="宋体" w:eastAsia="仿宋_GB2312"/>
          <w:bCs/>
          <w:color w:val="000000"/>
          <w:sz w:val="30"/>
          <w:szCs w:val="30"/>
        </w:rPr>
        <w:t>乡</w:t>
      </w:r>
      <w:r>
        <w:rPr>
          <w:rFonts w:hint="eastAsia" w:ascii="仿宋_GB2312" w:hAnsi="宋体" w:eastAsia="仿宋_GB2312"/>
          <w:bCs/>
          <w:color w:val="000000"/>
          <w:sz w:val="30"/>
          <w:szCs w:val="30"/>
          <w:lang w:val="en-US" w:eastAsia="zh-CN"/>
        </w:rPr>
        <w:t>村两级</w:t>
      </w:r>
      <w:r>
        <w:rPr>
          <w:rFonts w:hint="eastAsia" w:ascii="仿宋_GB2312" w:hAnsi="宋体" w:eastAsia="仿宋_GB2312"/>
          <w:bCs/>
          <w:color w:val="000000"/>
          <w:sz w:val="30"/>
          <w:szCs w:val="30"/>
        </w:rPr>
        <w:t>基药补助，</w:t>
      </w:r>
      <w:r>
        <w:rPr>
          <w:rFonts w:hint="eastAsia" w:ascii="宋体" w:hAnsi="宋体" w:eastAsia="仿宋_GB2312" w:cs="Times New Roman"/>
          <w:sz w:val="32"/>
          <w:szCs w:val="32"/>
          <w:lang w:val="en-US" w:eastAsia="zh-CN"/>
        </w:rPr>
        <w:t>实行农村人口全覆盖，实行药品零差率销售，为群众减轻药品费用。同时保障基层医疗卫生机构正常运行，乡村两级医务人员收入提高，社会反应良好，群众很满意。</w:t>
      </w:r>
    </w:p>
    <w:p>
      <w:pPr>
        <w:autoSpaceDN w:val="0"/>
        <w:spacing w:line="570" w:lineRule="exact"/>
        <w:textAlignment w:val="center"/>
        <w:rPr>
          <w:rFonts w:hint="eastAsia" w:ascii="宋体" w:hAnsi="宋体" w:eastAsia="仿宋_GB2312" w:cs="Times New Roman"/>
          <w:sz w:val="32"/>
          <w:szCs w:val="32"/>
          <w:lang w:val="en-US" w:eastAsia="zh-CN"/>
        </w:rPr>
      </w:pPr>
      <w:r>
        <w:rPr>
          <w:rFonts w:hint="eastAsia" w:ascii="宋体" w:hAnsi="宋体" w:eastAsia="仿宋_GB2312" w:cs="Times New Roman"/>
          <w:sz w:val="32"/>
          <w:szCs w:val="32"/>
          <w:lang w:val="en-US" w:eastAsia="zh-CN"/>
        </w:rPr>
        <w:t>2、基本公共卫生服务项目补助，</w:t>
      </w:r>
      <w:r>
        <w:rPr>
          <w:rFonts w:hint="eastAsia" w:ascii="仿宋_GB2312" w:hAnsi="宋体" w:eastAsia="仿宋_GB2312"/>
          <w:bCs/>
          <w:color w:val="000000"/>
          <w:sz w:val="30"/>
          <w:szCs w:val="30"/>
        </w:rPr>
        <w:t>实行城乡人口全覆盖，人人都能享受到免费基本公共卫生服务项目。社会反应良好，群众很满意。</w:t>
      </w:r>
    </w:p>
    <w:p>
      <w:pPr>
        <w:rPr>
          <w:rFonts w:hint="default"/>
          <w:lang w:val="en-US"/>
        </w:rPr>
      </w:pPr>
      <w:r>
        <w:rPr>
          <w:rFonts w:hint="eastAsia" w:ascii="宋体" w:hAnsi="宋体" w:eastAsia="仿宋_GB2312" w:cs="Times New Roman"/>
          <w:sz w:val="32"/>
          <w:szCs w:val="32"/>
          <w:lang w:val="en-US" w:eastAsia="zh-CN"/>
        </w:rPr>
        <w:t>3、社群健康助理员工资及社保，乡村医生收入提高，全心全意为辖区居民服务，辖区居民健康水平提高。群众满意度提高。</w:t>
      </w:r>
    </w:p>
    <w:p>
      <w:pPr>
        <w:spacing w:line="204" w:lineRule="auto"/>
        <w:jc w:val="left"/>
        <w:rPr>
          <w:rFonts w:ascii="楷体" w:hAnsi="楷体" w:eastAsia="楷体" w:cs="楷体"/>
          <w:spacing w:val="-3"/>
          <w:sz w:val="32"/>
          <w:szCs w:val="32"/>
        </w:rPr>
      </w:pPr>
      <w:r>
        <w:rPr>
          <w:rFonts w:hint="eastAsia" w:ascii="楷体" w:hAnsi="楷体" w:eastAsia="楷体" w:cs="楷体"/>
          <w:spacing w:val="-3"/>
          <w:sz w:val="32"/>
          <w:szCs w:val="32"/>
        </w:rPr>
        <w:t>5.政府购买服务指导性目录。</w:t>
      </w:r>
    </w:p>
    <w:p>
      <w:pPr>
        <w:spacing w:line="204" w:lineRule="auto"/>
        <w:ind w:firstLine="656" w:firstLineChars="200"/>
        <w:jc w:val="left"/>
        <w:rPr>
          <w:rFonts w:ascii="仿宋" w:hAnsi="仿宋" w:eastAsia="仿宋" w:cs="仿宋"/>
          <w:spacing w:val="4"/>
          <w:sz w:val="32"/>
          <w:szCs w:val="32"/>
        </w:rPr>
      </w:pPr>
      <w:r>
        <w:rPr>
          <w:rFonts w:hint="eastAsia" w:ascii="仿宋" w:hAnsi="仿宋" w:eastAsia="仿宋" w:cs="仿宋"/>
          <w:spacing w:val="4"/>
          <w:sz w:val="32"/>
          <w:szCs w:val="32"/>
        </w:rPr>
        <w:t>无</w:t>
      </w:r>
    </w:p>
    <w:p>
      <w:pPr>
        <w:ind w:firstLine="2808" w:firstLineChars="900"/>
        <w:outlineLvl w:val="0"/>
        <w:rPr>
          <w:rFonts w:ascii="黑体" w:hAnsi="黑体" w:eastAsia="黑体" w:cs="黑体"/>
          <w:snapToGrid w:val="0"/>
          <w:spacing w:val="-4"/>
          <w:kern w:val="0"/>
          <w:sz w:val="32"/>
          <w:szCs w:val="32"/>
        </w:rPr>
      </w:pPr>
      <w:bookmarkStart w:id="18" w:name="_Toc8549_WPSOffice_Level1"/>
      <w:bookmarkStart w:id="19" w:name="_Toc32537"/>
      <w:r>
        <w:rPr>
          <w:rFonts w:hint="eastAsia" w:ascii="黑体" w:hAnsi="黑体" w:eastAsia="黑体" w:cs="黑体"/>
          <w:snapToGrid w:val="0"/>
          <w:spacing w:val="-4"/>
          <w:kern w:val="0"/>
          <w:sz w:val="32"/>
          <w:szCs w:val="32"/>
        </w:rPr>
        <w:t xml:space="preserve">第四部分 </w:t>
      </w:r>
      <w:r>
        <w:rPr>
          <w:rFonts w:ascii="黑体" w:hAnsi="黑体" w:eastAsia="黑体" w:cs="黑体"/>
          <w:snapToGrid w:val="0"/>
          <w:spacing w:val="-4"/>
          <w:kern w:val="0"/>
          <w:sz w:val="32"/>
          <w:szCs w:val="32"/>
        </w:rPr>
        <w:t>名词解释</w:t>
      </w:r>
      <w:bookmarkEnd w:id="18"/>
      <w:bookmarkEnd w:id="19"/>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财政拨款收入</w:t>
      </w:r>
      <w:r>
        <w:rPr>
          <w:rFonts w:hint="eastAsia" w:ascii="仿宋" w:hAnsi="仿宋" w:eastAsia="仿宋" w:cs="仿宋"/>
          <w:spacing w:val="4"/>
          <w:sz w:val="32"/>
          <w:szCs w:val="32"/>
        </w:rPr>
        <w:t>:指同级财政当年拨付的资金。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上级补助收入</w:t>
      </w:r>
      <w:r>
        <w:rPr>
          <w:rFonts w:hint="eastAsia" w:ascii="仿宋" w:hAnsi="仿宋" w:eastAsia="仿宋" w:cs="仿宋"/>
          <w:spacing w:val="4"/>
          <w:sz w:val="32"/>
          <w:szCs w:val="32"/>
        </w:rPr>
        <w:t>:指事业单位从主管部门和上级单位取得的非财政补助收入。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事业收入</w:t>
      </w:r>
      <w:r>
        <w:rPr>
          <w:rFonts w:hint="eastAsia" w:ascii="仿宋" w:hAnsi="仿宋" w:eastAsia="仿宋" w:cs="仿宋"/>
          <w:spacing w:val="4"/>
          <w:sz w:val="32"/>
          <w:szCs w:val="32"/>
        </w:rPr>
        <w:t>:指事业单位开展专业业务活动及其辅助活动所取得的收入。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经营收入</w:t>
      </w:r>
      <w:r>
        <w:rPr>
          <w:rFonts w:hint="eastAsia" w:ascii="仿宋" w:hAnsi="仿宋" w:eastAsia="仿宋" w:cs="仿宋"/>
          <w:spacing w:val="4"/>
          <w:sz w:val="32"/>
          <w:szCs w:val="32"/>
        </w:rPr>
        <w:t>:指事业单位在专业业务活动及其辅助活动之外开展非独立核算经营活动取得的收入。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附属单位缴款</w:t>
      </w:r>
      <w:r>
        <w:rPr>
          <w:rFonts w:hint="eastAsia" w:ascii="仿宋" w:hAnsi="仿宋" w:eastAsia="仿宋" w:cs="仿宋"/>
          <w:spacing w:val="4"/>
          <w:sz w:val="32"/>
          <w:szCs w:val="32"/>
        </w:rPr>
        <w:t>:指事业单位附属的独立核算单位按有关规定上缴的收入。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其他收入</w:t>
      </w:r>
      <w:r>
        <w:rPr>
          <w:rFonts w:hint="eastAsia" w:ascii="仿宋" w:hAnsi="仿宋" w:eastAsia="仿宋" w:cs="仿宋"/>
          <w:spacing w:val="4"/>
          <w:sz w:val="32"/>
          <w:szCs w:val="32"/>
        </w:rPr>
        <w:t>:指除上述“财政拨款收入”、“事业收入”、“经营收入”、“附属单位缴款”等之外取得的收入。</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用事业基金弥补收支差额</w:t>
      </w:r>
      <w:r>
        <w:rPr>
          <w:rFonts w:hint="eastAsia" w:ascii="仿宋" w:hAnsi="仿宋" w:eastAsia="仿宋" w:cs="仿宋"/>
          <w:spacing w:val="4"/>
          <w:sz w:val="32"/>
          <w:szCs w:val="32"/>
        </w:rPr>
        <w:t>:指事业单位在当年的“财政拨款收入”、“财政拨款结转和结余资金”、“事业收入”、“事业单位经营收入”、“其他区收入”不足以安排当年支出的情况下，使用以前年度积累的事业基金(即事业单位当年收支相抵后按国家规定提取、用于弥补以后年度收支差额的基金)弥补本年度收支缺口的资金。</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上年结转和结余</w:t>
      </w:r>
      <w:r>
        <w:rPr>
          <w:rFonts w:hint="eastAsia" w:ascii="仿宋" w:hAnsi="仿宋" w:eastAsia="仿宋" w:cs="仿宋"/>
          <w:spacing w:val="4"/>
          <w:sz w:val="32"/>
          <w:szCs w:val="32"/>
        </w:rPr>
        <w:t>：指以前年度支出预算因客观条件变化未执行完毕、结转到本年度按有关规定继续使用的资金，既包括财政拨款结转和结余，也包括事业收入、经营收入、其他收入的结转和结余。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结余分配</w:t>
      </w:r>
      <w:r>
        <w:rPr>
          <w:rFonts w:hint="eastAsia" w:ascii="仿宋" w:hAnsi="仿宋" w:eastAsia="仿宋" w:cs="仿宋"/>
          <w:spacing w:val="4"/>
          <w:sz w:val="32"/>
          <w:szCs w:val="32"/>
        </w:rPr>
        <w:t>：反应单位当年结余的分配情况。</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年末结转和结余</w:t>
      </w:r>
      <w:r>
        <w:rPr>
          <w:rFonts w:hint="eastAsia" w:ascii="仿宋" w:hAnsi="仿宋" w:eastAsia="仿宋" w:cs="仿宋"/>
          <w:spacing w:val="4"/>
          <w:sz w:val="32"/>
          <w:szCs w:val="32"/>
        </w:rPr>
        <w:t>：指本年度或以前年度预算安排、因客观条件发生变化按原计划实施，需要延迟到以后年度按有关规定继续使用的资金，既包括财政拨款结转和结余，也包括事业收入、经营收入、其他收入的结转和结余。</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基本支出</w:t>
      </w:r>
      <w:r>
        <w:rPr>
          <w:rFonts w:hint="eastAsia" w:ascii="仿宋" w:hAnsi="仿宋" w:eastAsia="仿宋" w:cs="仿宋"/>
          <w:spacing w:val="4"/>
          <w:sz w:val="32"/>
          <w:szCs w:val="32"/>
        </w:rPr>
        <w:t>：指为保障机构正常运转、完成日常工作任务而发生的人员支出和公用支出。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项目支出</w:t>
      </w:r>
      <w:r>
        <w:rPr>
          <w:rFonts w:hint="eastAsia" w:ascii="仿宋" w:hAnsi="仿宋" w:eastAsia="仿宋" w:cs="仿宋"/>
          <w:spacing w:val="4"/>
          <w:sz w:val="32"/>
          <w:szCs w:val="32"/>
        </w:rPr>
        <w:t>：指在基本支出之外为完成特定行政任务和事业发展目标所发生的支出。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经营支出</w:t>
      </w:r>
      <w:r>
        <w:rPr>
          <w:rFonts w:hint="eastAsia" w:ascii="仿宋" w:hAnsi="仿宋" w:eastAsia="仿宋" w:cs="仿宋"/>
          <w:spacing w:val="4"/>
          <w:sz w:val="32"/>
          <w:szCs w:val="32"/>
        </w:rPr>
        <w:t>：指事业单位在专业业务活动及其辅助活动之外开展非独立核算经营活动发生的支出。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对附属单位补助支出</w:t>
      </w:r>
      <w:r>
        <w:rPr>
          <w:rFonts w:hint="eastAsia" w:ascii="仿宋" w:hAnsi="仿宋" w:eastAsia="仿宋" w:cs="仿宋"/>
          <w:spacing w:val="4"/>
          <w:sz w:val="32"/>
          <w:szCs w:val="32"/>
        </w:rPr>
        <w:t>：指事业单位发生的用非财政预算资金对附属单位的补助支出。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“三公”经费</w:t>
      </w:r>
      <w:r>
        <w:rPr>
          <w:rFonts w:hint="eastAsia" w:ascii="仿宋" w:hAnsi="仿宋" w:eastAsia="仿宋" w:cs="仿宋"/>
          <w:spacing w:val="4"/>
          <w:sz w:val="32"/>
          <w:szCs w:val="32"/>
        </w:rPr>
        <w:t>：纳入同级财政预决算管理的“三公”经费是指用一般公共预算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等支出；公务接待费反映单位按规定开支的各类公务接待（含外宾接待）支出。</w:t>
      </w:r>
    </w:p>
    <w:p>
      <w:pPr>
        <w:spacing w:line="204" w:lineRule="auto"/>
        <w:jc w:val="left"/>
        <w:rPr>
          <w:rFonts w:ascii="仿宋" w:hAnsi="仿宋" w:eastAsia="仿宋" w:cs="仿宋"/>
          <w:spacing w:val="4"/>
          <w:sz w:val="32"/>
          <w:szCs w:val="32"/>
        </w:rPr>
      </w:pPr>
      <w:r>
        <w:rPr>
          <w:rFonts w:hint="eastAsia" w:ascii="仿宋" w:hAnsi="仿宋" w:eastAsia="仿宋" w:cs="仿宋"/>
          <w:b/>
          <w:bCs/>
          <w:spacing w:val="4"/>
          <w:sz w:val="32"/>
          <w:szCs w:val="32"/>
        </w:rPr>
        <w:t>机关运行经费</w:t>
      </w:r>
      <w:r>
        <w:rPr>
          <w:rFonts w:hint="eastAsia" w:ascii="仿宋" w:hAnsi="仿宋" w:eastAsia="仿宋" w:cs="仿宋"/>
          <w:spacing w:val="4"/>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204" w:lineRule="auto"/>
        <w:jc w:val="left"/>
      </w:pPr>
      <w:r>
        <w:rPr>
          <w:rFonts w:hint="eastAsia" w:ascii="仿宋" w:hAnsi="仿宋" w:eastAsia="仿宋" w:cs="仿宋"/>
          <w:b/>
          <w:bCs/>
          <w:spacing w:val="4"/>
          <w:sz w:val="32"/>
          <w:szCs w:val="32"/>
        </w:rPr>
        <w:t>其他需要解释的名词</w:t>
      </w:r>
      <w:r>
        <w:rPr>
          <w:rFonts w:hint="eastAsia" w:ascii="仿宋" w:hAnsi="仿宋" w:eastAsia="仿宋" w:cs="仿宋"/>
          <w:spacing w:val="4"/>
          <w:sz w:val="32"/>
          <w:szCs w:val="32"/>
        </w:rPr>
        <w:t>。</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华文仿宋">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E0828"/>
    <w:multiLevelType w:val="singleLevel"/>
    <w:tmpl w:val="0CAE0828"/>
    <w:lvl w:ilvl="0" w:tentative="0">
      <w:start w:val="8"/>
      <w:numFmt w:val="chineseCounting"/>
      <w:suff w:val="nothing"/>
      <w:lvlText w:val="%1、"/>
      <w:lvlJc w:val="left"/>
      <w:rPr>
        <w:rFonts w:hint="eastAsia"/>
      </w:rPr>
    </w:lvl>
  </w:abstractNum>
  <w:abstractNum w:abstractNumId="1">
    <w:nsid w:val="32CD2E15"/>
    <w:multiLevelType w:val="singleLevel"/>
    <w:tmpl w:val="32CD2E15"/>
    <w:lvl w:ilvl="0" w:tentative="0">
      <w:start w:val="1"/>
      <w:numFmt w:val="chineseCounting"/>
      <w:suff w:val="nothing"/>
      <w:lvlText w:val="（%1）"/>
      <w:lvlJc w:val="left"/>
      <w:rPr>
        <w:rFonts w:hint="eastAsia"/>
      </w:rPr>
    </w:lvl>
  </w:abstractNum>
  <w:abstractNum w:abstractNumId="2">
    <w:nsid w:val="6AF4BF66"/>
    <w:multiLevelType w:val="singleLevel"/>
    <w:tmpl w:val="6AF4BF66"/>
    <w:lvl w:ilvl="0" w:tentative="0">
      <w:start w:val="1"/>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7E3F0B7D"/>
    <w:rsid w:val="000014A7"/>
    <w:rsid w:val="00035BA0"/>
    <w:rsid w:val="00052B5B"/>
    <w:rsid w:val="000707A1"/>
    <w:rsid w:val="0015248B"/>
    <w:rsid w:val="00187767"/>
    <w:rsid w:val="003F5926"/>
    <w:rsid w:val="00774AFB"/>
    <w:rsid w:val="00A879B8"/>
    <w:rsid w:val="00AC4347"/>
    <w:rsid w:val="00B47877"/>
    <w:rsid w:val="00E4217F"/>
    <w:rsid w:val="00E50156"/>
    <w:rsid w:val="00F71943"/>
    <w:rsid w:val="016C3511"/>
    <w:rsid w:val="0E115DFD"/>
    <w:rsid w:val="11D27EAE"/>
    <w:rsid w:val="1ED61EA5"/>
    <w:rsid w:val="20D97C1B"/>
    <w:rsid w:val="23553F43"/>
    <w:rsid w:val="24C96592"/>
    <w:rsid w:val="299664C8"/>
    <w:rsid w:val="2C7C560C"/>
    <w:rsid w:val="34AB372D"/>
    <w:rsid w:val="3F28132A"/>
    <w:rsid w:val="40877092"/>
    <w:rsid w:val="40A16A98"/>
    <w:rsid w:val="49221B6F"/>
    <w:rsid w:val="505273DA"/>
    <w:rsid w:val="6544153D"/>
    <w:rsid w:val="68CD37BD"/>
    <w:rsid w:val="69EE6A19"/>
    <w:rsid w:val="6A586580"/>
    <w:rsid w:val="6C940C35"/>
    <w:rsid w:val="6EC76FCB"/>
    <w:rsid w:val="7E3F0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unhideWhenUsed/>
    <w:qFormat/>
    <w:uiPriority w:val="99"/>
    <w:pPr>
      <w:spacing w:after="0"/>
      <w:ind w:firstLine="420"/>
    </w:pPr>
  </w:style>
  <w:style w:type="paragraph" w:styleId="3">
    <w:name w:val="Body Text"/>
    <w:basedOn w:val="1"/>
    <w:unhideWhenUsed/>
    <w:qFormat/>
    <w:uiPriority w:val="99"/>
    <w:pPr>
      <w:spacing w:after="12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WPSOffice手动目录 1"/>
    <w:qFormat/>
    <w:uiPriority w:val="0"/>
    <w:rPr>
      <w:rFonts w:ascii="Times New Roman" w:hAnsi="Times New Roman" w:eastAsia="宋体" w:cs="Times New Roman"/>
      <w:lang w:val="en-US" w:eastAsia="zh-CN" w:bidi="ar-SA"/>
    </w:rPr>
  </w:style>
  <w:style w:type="paragraph" w:customStyle="1" w:styleId="9">
    <w:name w:val="WPSOffice手动目录 2"/>
    <w:qFormat/>
    <w:uiPriority w:val="0"/>
    <w:pPr>
      <w:ind w:left="200" w:leftChars="200"/>
    </w:pPr>
    <w:rPr>
      <w:rFonts w:ascii="Times New Roman" w:hAnsi="Times New Roman" w:eastAsia="宋体" w:cs="Times New Roman"/>
      <w:lang w:val="en-US" w:eastAsia="zh-CN" w:bidi="ar-SA"/>
    </w:rPr>
  </w:style>
  <w:style w:type="paragraph" w:styleId="10">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8</Pages>
  <Words>2895</Words>
  <Characters>3166</Characters>
  <Lines>6</Lines>
  <Paragraphs>6</Paragraphs>
  <TotalTime>6</TotalTime>
  <ScaleCrop>false</ScaleCrop>
  <LinksUpToDate>false</LinksUpToDate>
  <CharactersWithSpaces>3221</CharactersWithSpaces>
  <Application>WPS Office_11.8.2.8576_F1E327BC-269C-435d-A152-05C5408002CA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2021-10-28T10:29:00Z</dcterms:created>
  <dc:creator>Administrator</dc:creator>
  <cp:lastModifiedBy>work</cp:lastModifiedBy>
  <cp:lastPrinted>2021-10-28T11:45:00Z</cp:lastPrinted>
  <dcterms:modified xsi:type="dcterms:W3CDTF">2022-09-16T02:18:31Z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2052-11.8.2.8576</vt:lpwstr>
  </property>
  <property fmtid="{D5CDD505-2E9C-101B-9397-08002B2CF9AE}" pid="3" name="ICV">
    <vt:lpwstr>F4A69B60DE164D1EB0CFB170E71637DC</vt:lpwstr>
  </property>
</Properties>
</file>