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w:t>
      </w:r>
      <w:r>
        <w:rPr>
          <w:rFonts w:hint="eastAsia" w:ascii="黑体" w:eastAsia="黑体"/>
          <w:sz w:val="44"/>
          <w:szCs w:val="44"/>
          <w:lang w:val="en-US" w:eastAsia="zh-CN"/>
        </w:rPr>
        <w:t>朔城区</w:t>
      </w:r>
      <w:r>
        <w:rPr>
          <w:rFonts w:hint="eastAsia" w:ascii="黑体" w:eastAsia="黑体"/>
          <w:sz w:val="44"/>
          <w:szCs w:val="44"/>
          <w:lang w:eastAsia="zh-CN"/>
        </w:rPr>
        <w:t>医疗保障局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w:t>
      </w:r>
      <w:r>
        <w:rPr>
          <w:rFonts w:hint="eastAsia" w:ascii="黑体" w:eastAsia="黑体"/>
          <w:sz w:val="44"/>
          <w:szCs w:val="44"/>
          <w:lang w:eastAsia="zh-CN"/>
        </w:rPr>
        <w:t>单位</w:t>
      </w:r>
      <w:r>
        <w:rPr>
          <w:rFonts w:hint="eastAsia" w:ascii="黑体" w:eastAsia="黑体"/>
          <w:sz w:val="44"/>
          <w:szCs w:val="44"/>
        </w:rPr>
        <w:t>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pStyle w:val="2"/>
      </w:pPr>
    </w:p>
    <w:p>
      <w:pPr>
        <w:overflowPunct w:val="0"/>
        <w:ind w:firstLine="640" w:firstLineChars="200"/>
        <w:rPr>
          <w:rFonts w:hint="eastAsia" w:ascii="黑体" w:hAnsi="黑体" w:eastAsia="黑体" w:cs="仿宋"/>
          <w:sz w:val="32"/>
          <w:szCs w:val="32"/>
        </w:rPr>
      </w:pPr>
      <w:r>
        <w:rPr>
          <w:rFonts w:hint="eastAsia" w:ascii="黑体" w:hAnsi="黑体" w:eastAsia="黑体" w:cs="仿宋"/>
          <w:sz w:val="32"/>
          <w:szCs w:val="32"/>
        </w:rPr>
        <w:t>一、本部门职责</w:t>
      </w:r>
    </w:p>
    <w:p>
      <w:pPr>
        <w:overflowPunct w:val="0"/>
        <w:ind w:firstLine="640" w:firstLineChars="200"/>
        <w:rPr>
          <w:rFonts w:ascii="仿宋" w:hAnsi="仿宋" w:eastAsia="仿宋" w:cs="仿宋_GB2312"/>
          <w:sz w:val="32"/>
          <w:szCs w:val="32"/>
        </w:rPr>
      </w:pPr>
      <w:r>
        <w:rPr>
          <w:rFonts w:hint="eastAsia" w:ascii="仿宋" w:hAnsi="仿宋" w:eastAsia="仿宋" w:cs="仿宋_GB2312"/>
          <w:sz w:val="32"/>
          <w:szCs w:val="32"/>
        </w:rPr>
        <w:t>朔州市朔城区医疗保障局于2019年3月正式挂牌成立，位于鄯阳西街朔城区政务大厅三楼。截至2021年底，全局有行政编制6人，局长1人，副局长1人，主任科员2人，三级主任科员1人，一级科员1人，其中中共党员5人。</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贯彻执行党和国家的医疗保障政策，编制医疗保障事业发展的总体规划和年度工作计划，拟订医疗保障制度改革方案，并组织实施和监督检查；</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贯彻执行医疗保障法律法规，依法行使医疗保障监督检查职权；</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组织制定并实施医疗保障基金管理和基金监督管理制度，建立健全医疗保障基金安全防控机制，拟定应对预案并组织实施；</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负责医疗保障经办管理、公共服务体系和信息化建设。组织制定和完善异地就医管理和费用结算政策。建立健全医疗保障关系转移接续制度。</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5、</w:t>
      </w:r>
      <w:r>
        <w:rPr>
          <w:rFonts w:hint="eastAsia" w:ascii="仿宋" w:hAnsi="仿宋" w:eastAsia="仿宋" w:cs="仿宋"/>
          <w:sz w:val="32"/>
          <w:szCs w:val="32"/>
        </w:rPr>
        <w:t>推进医疗、医保、医药“三医联动”改革，建立健全覆盖全民、城乡统筹的多层次医疗保障体系，不断提高医疗保障水平，确保医保资金合理使用、安全可控。提高医疗保障统筹层次，加强人民群众医疗保障建设。</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sz w:val="32"/>
          <w:szCs w:val="32"/>
        </w:rPr>
        <w:t>负责医疗保险基金的收缴、支付管理和运营的监督检查工作：对医疗保险基金预决算提出审核意见；制定医疗保险经办机构的管理规则和基金运营、机构资格认定标准；负责制定医疗保险服务体系建设规划，并组织实施；</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7、</w:t>
      </w:r>
      <w:r>
        <w:rPr>
          <w:rFonts w:hint="eastAsia" w:ascii="仿宋" w:hAnsi="仿宋" w:eastAsia="仿宋" w:cs="仿宋"/>
          <w:sz w:val="32"/>
          <w:szCs w:val="32"/>
        </w:rPr>
        <w:t>拟定机关、事业、企业单位补充医疗保险的政策和补充保险承办机构资格认定标准；审查认定有关机构承办补充保险业务资格；</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8、</w:t>
      </w:r>
      <w:r>
        <w:rPr>
          <w:rFonts w:hint="eastAsia" w:ascii="仿宋" w:hAnsi="仿宋" w:eastAsia="仿宋" w:cs="仿宋"/>
          <w:sz w:val="32"/>
          <w:szCs w:val="32"/>
        </w:rPr>
        <w:t>组织参与有关医疗保障领域的区域性交流与合作；</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9、</w:t>
      </w:r>
      <w:r>
        <w:rPr>
          <w:rFonts w:hint="eastAsia" w:ascii="仿宋" w:hAnsi="仿宋" w:eastAsia="仿宋" w:cs="仿宋"/>
          <w:sz w:val="32"/>
          <w:szCs w:val="32"/>
        </w:rPr>
        <w:t>负责组织、协调、指导和管理全区的医疗保障监察工作；</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10、</w:t>
      </w:r>
      <w:r>
        <w:rPr>
          <w:rFonts w:hint="eastAsia" w:ascii="仿宋" w:hAnsi="仿宋" w:eastAsia="仿宋" w:cs="仿宋"/>
          <w:sz w:val="32"/>
          <w:szCs w:val="32"/>
        </w:rPr>
        <w:t>承办上级交办的其它事项。</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二、机构设置情况</w:t>
      </w:r>
    </w:p>
    <w:p>
      <w:pPr>
        <w:adjustRightInd w:val="0"/>
        <w:snapToGrid w:val="0"/>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（一）综合股</w:t>
      </w:r>
      <w:r>
        <w:rPr>
          <w:rFonts w:hint="eastAsia" w:ascii="楷体" w:hAnsi="楷体" w:eastAsia="楷体" w:cs="仿宋"/>
          <w:b/>
          <w:bCs/>
          <w:sz w:val="32"/>
          <w:szCs w:val="32"/>
        </w:rPr>
        <w:t>主要职责</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1、负责文电、会务、机要、档案、督查、信息、宣传、保密、信访、应急、值班、安全、考核等机关日常运转工作；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2、承担政府信息和政务公开、建议提案办理、机关综合性文稿等有关工作；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3、负责局机关和直属单位的人事管理、资产管理、教育培训、队伍建设等工作；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4、直接负责局机关并指导直属单位离退休人员的管理服务工作；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5、承担行政复议、行政应诉等工作；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6、负责全局后勤、保障和服务、车辆管理；</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7、审批全区定点医疗机构和定点零售药店，负责与定点医疗机构和零售药店签订协议；</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8、拟定并组织实施全区药品、医用耗材价格和医疗服务项目、医疗服务设施收费等政策、建立价格信息监测和信息发布制度；</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9、拟定全区药品、大型医疗设备和医用耗材的招标采购、配送及结算管理政策并组织实施，建设招标采购平台；</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10、组织开展药品、医用耗材、医疗技术的经济性评价，协调推进医疗、医保、医药“三医联动”改革。</w:t>
      </w:r>
    </w:p>
    <w:p>
      <w:pPr>
        <w:adjustRightInd w:val="0"/>
        <w:snapToGrid w:val="0"/>
        <w:spacing w:line="6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（二）待遇保障和基金监督管理股主要职责</w:t>
      </w:r>
    </w:p>
    <w:p>
      <w:pPr>
        <w:ind w:firstLine="640" w:firstLineChars="200"/>
        <w:rPr>
          <w:rFonts w:ascii="仿宋" w:hAnsi="仿宋" w:eastAsia="仿宋"/>
          <w:sz w:val="32"/>
          <w:szCs w:val="32"/>
        </w:rPr>
      </w:pPr>
      <w:r>
        <w:rPr>
          <w:rFonts w:hint="eastAsia" w:ascii="仿宋" w:hAnsi="仿宋" w:eastAsia="仿宋"/>
          <w:sz w:val="32"/>
          <w:szCs w:val="32"/>
        </w:rPr>
        <w:t>1、组织拟订全区医疗保障工作规划。拟订并组织实施全区基本医疗保险、生育保险、医疗救助等医疗筹资和待遇政策；</w:t>
      </w:r>
    </w:p>
    <w:p>
      <w:pPr>
        <w:ind w:firstLine="640" w:firstLineChars="200"/>
        <w:rPr>
          <w:rFonts w:ascii="仿宋" w:hAnsi="仿宋" w:eastAsia="仿宋"/>
          <w:sz w:val="32"/>
          <w:szCs w:val="32"/>
        </w:rPr>
      </w:pPr>
      <w:r>
        <w:rPr>
          <w:rFonts w:hint="eastAsia" w:ascii="仿宋" w:hAnsi="仿宋" w:eastAsia="仿宋"/>
          <w:sz w:val="32"/>
          <w:szCs w:val="32"/>
        </w:rPr>
        <w:t>2、拟订并组织实施医疗保障基金监督管理办法；</w:t>
      </w:r>
    </w:p>
    <w:p>
      <w:pPr>
        <w:ind w:firstLine="640" w:firstLineChars="200"/>
        <w:rPr>
          <w:rFonts w:ascii="仿宋" w:hAnsi="仿宋" w:eastAsia="仿宋"/>
          <w:sz w:val="32"/>
          <w:szCs w:val="32"/>
        </w:rPr>
      </w:pPr>
      <w:r>
        <w:rPr>
          <w:rFonts w:hint="eastAsia" w:ascii="仿宋" w:hAnsi="仿宋" w:eastAsia="仿宋"/>
          <w:sz w:val="32"/>
          <w:szCs w:val="32"/>
        </w:rPr>
        <w:t>3、拟订并实施城乡居民大病保险、职工补充医疗保险待遇按政策和管理办法；</w:t>
      </w:r>
    </w:p>
    <w:p>
      <w:pPr>
        <w:ind w:firstLine="640" w:firstLineChars="200"/>
        <w:rPr>
          <w:rFonts w:ascii="仿宋" w:hAnsi="仿宋" w:eastAsia="仿宋"/>
          <w:sz w:val="32"/>
          <w:szCs w:val="32"/>
        </w:rPr>
      </w:pPr>
      <w:r>
        <w:rPr>
          <w:rFonts w:hint="eastAsia" w:ascii="仿宋" w:hAnsi="仿宋" w:eastAsia="仿宋"/>
          <w:sz w:val="32"/>
          <w:szCs w:val="32"/>
        </w:rPr>
        <w:t>4、组织实施区直离休人员医疗保障政策；</w:t>
      </w:r>
    </w:p>
    <w:p>
      <w:pPr>
        <w:ind w:firstLine="640" w:firstLineChars="200"/>
        <w:rPr>
          <w:rFonts w:ascii="仿宋" w:hAnsi="仿宋" w:eastAsia="仿宋"/>
          <w:sz w:val="32"/>
          <w:szCs w:val="32"/>
        </w:rPr>
      </w:pPr>
      <w:r>
        <w:rPr>
          <w:rFonts w:hint="eastAsia" w:ascii="仿宋" w:hAnsi="仿宋" w:eastAsia="仿宋"/>
          <w:sz w:val="32"/>
          <w:szCs w:val="32"/>
        </w:rPr>
        <w:t>5、拟订并组织实施全区长期护理保险制度改革方案；</w:t>
      </w:r>
    </w:p>
    <w:p>
      <w:pPr>
        <w:ind w:firstLine="640" w:firstLineChars="200"/>
        <w:rPr>
          <w:rFonts w:ascii="仿宋" w:hAnsi="仿宋" w:eastAsia="仿宋"/>
          <w:sz w:val="32"/>
          <w:szCs w:val="32"/>
        </w:rPr>
      </w:pPr>
      <w:r>
        <w:rPr>
          <w:rFonts w:hint="eastAsia" w:ascii="仿宋" w:hAnsi="仿宋" w:eastAsia="仿宋"/>
          <w:sz w:val="32"/>
          <w:szCs w:val="32"/>
        </w:rPr>
        <w:t>6、统筹推进多层次医疗保障体系建设；</w:t>
      </w:r>
    </w:p>
    <w:p>
      <w:pPr>
        <w:ind w:firstLine="640" w:firstLineChars="200"/>
        <w:rPr>
          <w:rFonts w:ascii="仿宋" w:hAnsi="仿宋" w:eastAsia="仿宋"/>
          <w:sz w:val="32"/>
          <w:szCs w:val="32"/>
        </w:rPr>
      </w:pPr>
      <w:r>
        <w:rPr>
          <w:rFonts w:hint="eastAsia" w:ascii="仿宋" w:hAnsi="仿宋" w:eastAsia="仿宋"/>
          <w:sz w:val="32"/>
          <w:szCs w:val="32"/>
        </w:rPr>
        <w:t>7、建立健全医疗保障基金安全防控机制以及医疗保障信用评价体系和信息披露制度，监督管理纳入医保支付范围的医疗保障信用评价体系和信息披露制度，监督管理纳入医保支付范围的医疗服务行为和医疗费用；</w:t>
      </w:r>
    </w:p>
    <w:p>
      <w:pPr>
        <w:ind w:firstLine="640" w:firstLineChars="200"/>
        <w:rPr>
          <w:rFonts w:ascii="仿宋" w:hAnsi="仿宋" w:eastAsia="仿宋"/>
          <w:sz w:val="32"/>
          <w:szCs w:val="32"/>
        </w:rPr>
      </w:pPr>
      <w:r>
        <w:rPr>
          <w:rFonts w:hint="eastAsia" w:ascii="仿宋" w:hAnsi="仿宋" w:eastAsia="仿宋"/>
          <w:sz w:val="32"/>
          <w:szCs w:val="32"/>
        </w:rPr>
        <w:t>8、监督全区医保目录和支付标准执行情况；</w:t>
      </w:r>
    </w:p>
    <w:p>
      <w:pPr>
        <w:ind w:firstLine="640" w:firstLineChars="200"/>
        <w:rPr>
          <w:rFonts w:ascii="仿宋" w:hAnsi="仿宋" w:eastAsia="仿宋"/>
          <w:sz w:val="32"/>
          <w:szCs w:val="32"/>
        </w:rPr>
      </w:pPr>
      <w:r>
        <w:rPr>
          <w:rFonts w:hint="eastAsia" w:ascii="仿宋" w:hAnsi="仿宋" w:eastAsia="仿宋"/>
          <w:sz w:val="32"/>
          <w:szCs w:val="32"/>
        </w:rPr>
        <w:t>9、健全医保关系转移接续制度；</w:t>
      </w:r>
    </w:p>
    <w:p>
      <w:pPr>
        <w:ind w:firstLine="640" w:firstLineChars="200"/>
        <w:rPr>
          <w:rFonts w:ascii="仿宋" w:hAnsi="仿宋" w:eastAsia="仿宋"/>
          <w:sz w:val="32"/>
          <w:szCs w:val="32"/>
        </w:rPr>
      </w:pPr>
      <w:r>
        <w:rPr>
          <w:rFonts w:hint="eastAsia" w:ascii="仿宋" w:hAnsi="仿宋" w:eastAsia="仿宋"/>
          <w:sz w:val="32"/>
          <w:szCs w:val="32"/>
        </w:rPr>
        <w:t>10、组织推进医保支付方式改革；</w:t>
      </w:r>
    </w:p>
    <w:p>
      <w:pPr>
        <w:ind w:firstLine="640" w:firstLineChars="200"/>
        <w:rPr>
          <w:rFonts w:ascii="仿宋" w:hAnsi="仿宋" w:eastAsia="仿宋"/>
          <w:sz w:val="32"/>
          <w:szCs w:val="32"/>
        </w:rPr>
      </w:pPr>
      <w:r>
        <w:rPr>
          <w:rFonts w:hint="eastAsia" w:ascii="仿宋" w:hAnsi="仿宋" w:eastAsia="仿宋"/>
          <w:sz w:val="32"/>
          <w:szCs w:val="32"/>
        </w:rPr>
        <w:t>11、组织医疗救助，承办中央、省、市、区相关补助资金的分配和监管工作，负责监督检查医疗救助政策和救助基金的落实；</w:t>
      </w:r>
    </w:p>
    <w:p>
      <w:pPr>
        <w:ind w:firstLine="640" w:firstLineChars="200"/>
        <w:rPr>
          <w:rFonts w:ascii="仿宋" w:hAnsi="仿宋" w:eastAsia="仿宋"/>
          <w:sz w:val="32"/>
          <w:szCs w:val="32"/>
        </w:rPr>
      </w:pPr>
      <w:r>
        <w:rPr>
          <w:rFonts w:hint="eastAsia" w:ascii="仿宋" w:hAnsi="仿宋" w:eastAsia="仿宋"/>
          <w:sz w:val="32"/>
          <w:szCs w:val="32"/>
        </w:rPr>
        <w:t>12、负责对全区定点医药机构日常医保行为的监督和管理；</w:t>
      </w:r>
    </w:p>
    <w:p>
      <w:pPr>
        <w:ind w:firstLine="640" w:firstLineChars="200"/>
        <w:rPr>
          <w:rFonts w:ascii="仿宋" w:hAnsi="仿宋" w:eastAsia="仿宋"/>
          <w:sz w:val="32"/>
          <w:szCs w:val="32"/>
        </w:rPr>
      </w:pPr>
      <w:r>
        <w:rPr>
          <w:rFonts w:hint="eastAsia" w:ascii="仿宋" w:hAnsi="仿宋" w:eastAsia="仿宋"/>
          <w:sz w:val="32"/>
          <w:szCs w:val="32"/>
        </w:rPr>
        <w:t>13、负责异地就医情况核查；</w:t>
      </w:r>
    </w:p>
    <w:p>
      <w:pPr>
        <w:ind w:firstLine="640" w:firstLineChars="200"/>
        <w:rPr>
          <w:rFonts w:ascii="仿宋" w:hAnsi="仿宋" w:eastAsia="仿宋"/>
          <w:sz w:val="32"/>
          <w:szCs w:val="32"/>
        </w:rPr>
      </w:pPr>
      <w:r>
        <w:rPr>
          <w:rFonts w:hint="eastAsia" w:ascii="仿宋" w:hAnsi="仿宋" w:eastAsia="仿宋"/>
          <w:sz w:val="32"/>
          <w:szCs w:val="32"/>
        </w:rPr>
        <w:t>14、负责实施意外伤害的核查落实；</w:t>
      </w:r>
    </w:p>
    <w:p>
      <w:pPr>
        <w:ind w:firstLine="640" w:firstLineChars="200"/>
        <w:rPr>
          <w:rFonts w:ascii="仿宋" w:hAnsi="仿宋" w:eastAsia="仿宋"/>
          <w:sz w:val="32"/>
          <w:szCs w:val="32"/>
        </w:rPr>
      </w:pPr>
      <w:r>
        <w:rPr>
          <w:rFonts w:hint="eastAsia" w:ascii="仿宋" w:hAnsi="仿宋" w:eastAsia="仿宋"/>
          <w:sz w:val="32"/>
          <w:szCs w:val="32"/>
        </w:rPr>
        <w:t>15、规范医保经办业务，依法查处医疗保障领域违规违法行为。</w:t>
      </w:r>
    </w:p>
    <w:p>
      <w:pPr>
        <w:adjustRightInd w:val="0"/>
        <w:snapToGrid w:val="0"/>
        <w:spacing w:line="660" w:lineRule="exact"/>
        <w:ind w:firstLine="643" w:firstLineChars="200"/>
        <w:rPr>
          <w:rFonts w:ascii="楷体" w:hAnsi="楷体" w:eastAsia="楷体" w:cs="仿宋_GB2312"/>
          <w:b/>
          <w:bCs/>
          <w:sz w:val="32"/>
          <w:szCs w:val="32"/>
        </w:rPr>
      </w:pPr>
      <w:r>
        <w:rPr>
          <w:rFonts w:hint="eastAsia" w:ascii="仿宋" w:hAnsi="仿宋" w:eastAsia="仿宋" w:cs="仿宋"/>
          <w:b/>
          <w:bCs/>
          <w:sz w:val="32"/>
          <w:szCs w:val="32"/>
        </w:rPr>
        <w:t xml:space="preserve"> </w:t>
      </w:r>
      <w:r>
        <w:rPr>
          <w:rFonts w:hint="eastAsia" w:ascii="楷体" w:hAnsi="楷体" w:eastAsia="楷体" w:cs="仿宋_GB2312"/>
          <w:b/>
          <w:bCs/>
          <w:sz w:val="32"/>
          <w:szCs w:val="32"/>
        </w:rPr>
        <w:t>（三）财务结算股主要职责</w:t>
      </w:r>
    </w:p>
    <w:p>
      <w:pPr>
        <w:ind w:firstLine="640" w:firstLineChars="200"/>
        <w:rPr>
          <w:rFonts w:ascii="仿宋" w:hAnsi="仿宋" w:eastAsia="仿宋"/>
          <w:sz w:val="32"/>
          <w:szCs w:val="32"/>
        </w:rPr>
      </w:pPr>
      <w:r>
        <w:rPr>
          <w:rFonts w:hint="eastAsia" w:ascii="仿宋" w:hAnsi="仿宋" w:eastAsia="仿宋"/>
          <w:sz w:val="32"/>
          <w:szCs w:val="32"/>
        </w:rPr>
        <w:t>1、负责医疗保障信息统计分析；</w:t>
      </w:r>
    </w:p>
    <w:p>
      <w:pPr>
        <w:ind w:firstLine="640" w:firstLineChars="200"/>
        <w:rPr>
          <w:rFonts w:ascii="仿宋" w:hAnsi="仿宋" w:eastAsia="仿宋"/>
          <w:sz w:val="32"/>
          <w:szCs w:val="32"/>
        </w:rPr>
      </w:pPr>
      <w:r>
        <w:rPr>
          <w:rFonts w:hint="eastAsia" w:ascii="仿宋" w:hAnsi="仿宋" w:eastAsia="仿宋"/>
          <w:sz w:val="32"/>
          <w:szCs w:val="32"/>
        </w:rPr>
        <w:t>2、负责局机关财务及所属单位经费统一管理；</w:t>
      </w:r>
    </w:p>
    <w:p>
      <w:pPr>
        <w:ind w:firstLine="640" w:firstLineChars="200"/>
        <w:rPr>
          <w:rFonts w:ascii="仿宋" w:hAnsi="仿宋" w:eastAsia="仿宋"/>
          <w:sz w:val="32"/>
          <w:szCs w:val="32"/>
        </w:rPr>
      </w:pPr>
      <w:r>
        <w:rPr>
          <w:rFonts w:hint="eastAsia" w:ascii="仿宋" w:hAnsi="仿宋" w:eastAsia="仿宋"/>
          <w:sz w:val="32"/>
          <w:szCs w:val="32"/>
        </w:rPr>
        <w:t>3、负责基金财务统一管理、统一审查及基金报销二审和分项目集中支付工作；</w:t>
      </w:r>
    </w:p>
    <w:p>
      <w:pPr>
        <w:ind w:firstLine="640" w:firstLineChars="200"/>
        <w:rPr>
          <w:rFonts w:hint="eastAsia" w:ascii="仿宋" w:hAnsi="仿宋" w:eastAsia="仿宋"/>
          <w:sz w:val="32"/>
          <w:szCs w:val="32"/>
        </w:rPr>
      </w:pPr>
      <w:r>
        <w:rPr>
          <w:rFonts w:hint="eastAsia" w:ascii="仿宋" w:hAnsi="仿宋" w:eastAsia="仿宋"/>
          <w:sz w:val="32"/>
          <w:szCs w:val="32"/>
        </w:rPr>
        <w:t>4、负责所属单位内部审计工作。</w:t>
      </w:r>
    </w:p>
    <w:p>
      <w:pPr>
        <w:ind w:firstLine="900" w:firstLineChars="300"/>
        <w:rPr>
          <w:rFonts w:hint="eastAsia" w:ascii="仿宋" w:hAnsi="仿宋" w:eastAsia="仿宋" w:cs="仿宋"/>
          <w:b/>
          <w:bCs/>
          <w:sz w:val="30"/>
          <w:szCs w:val="30"/>
        </w:rPr>
      </w:pPr>
      <w:r>
        <w:rPr>
          <w:rFonts w:hint="eastAsia" w:ascii="仿宋" w:hAnsi="仿宋" w:eastAsia="仿宋" w:cs="仿宋"/>
          <w:bCs/>
          <w:sz w:val="30"/>
          <w:szCs w:val="30"/>
        </w:rPr>
        <w:t>本次</w:t>
      </w:r>
      <w:r>
        <w:rPr>
          <w:rFonts w:hint="eastAsia" w:ascii="仿宋" w:hAnsi="仿宋" w:eastAsia="仿宋" w:cs="仿宋"/>
          <w:bCs/>
          <w:sz w:val="30"/>
          <w:szCs w:val="30"/>
          <w:lang w:eastAsia="zh-CN"/>
        </w:rPr>
        <w:t>决算</w:t>
      </w:r>
      <w:r>
        <w:rPr>
          <w:rFonts w:hint="eastAsia" w:ascii="仿宋" w:hAnsi="仿宋" w:eastAsia="仿宋" w:cs="仿宋"/>
          <w:bCs/>
          <w:sz w:val="30"/>
          <w:szCs w:val="30"/>
        </w:rPr>
        <w:t>公开为本单位</w:t>
      </w:r>
      <w:r>
        <w:rPr>
          <w:rFonts w:hint="eastAsia" w:ascii="仿宋" w:hAnsi="仿宋" w:eastAsia="仿宋" w:cs="仿宋"/>
          <w:bCs/>
          <w:sz w:val="30"/>
          <w:szCs w:val="30"/>
          <w:lang w:eastAsia="zh-CN"/>
        </w:rPr>
        <w:t>决算</w:t>
      </w:r>
      <w:r>
        <w:rPr>
          <w:rFonts w:hint="eastAsia" w:ascii="仿宋" w:hAnsi="仿宋" w:eastAsia="仿宋" w:cs="仿宋"/>
          <w:bCs/>
          <w:sz w:val="30"/>
          <w:szCs w:val="30"/>
        </w:rPr>
        <w:t>。</w:t>
      </w:r>
    </w:p>
    <w:p>
      <w:pPr>
        <w:rPr>
          <w:rFonts w:ascii="仿宋" w:hAnsi="仿宋" w:eastAsia="仿宋" w:cs="仿宋"/>
          <w:sz w:val="32"/>
          <w:szCs w:val="32"/>
        </w:rPr>
      </w:pPr>
      <w:bookmarkStart w:id="22" w:name="_GoBack"/>
      <w:bookmarkEnd w:id="22"/>
      <w:bookmarkStart w:id="2" w:name="_Toc7430_WPSOffice_Level1"/>
      <w:r>
        <w:rPr>
          <w:rFonts w:hint="eastAsia" w:ascii="仿宋" w:hAnsi="仿宋" w:eastAsia="仿宋" w:cs="仿宋"/>
          <w:sz w:val="32"/>
          <w:szCs w:val="32"/>
        </w:rPr>
        <w:t xml:space="preserve">                </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ind w:firstLine="640" w:firstLineChars="200"/>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hint="eastAsia" w:ascii="黑体" w:hAnsi="黑体" w:eastAsia="黑体" w:cs="黑体"/>
          <w:snapToGrid w:val="0"/>
          <w:color w:val="000000"/>
          <w:spacing w:val="-4"/>
          <w:kern w:val="0"/>
          <w:sz w:val="32"/>
          <w:szCs w:val="32"/>
          <w:lang w:eastAsia="zh-CN"/>
        </w:rPr>
      </w:pP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pStyle w:val="2"/>
      </w:pPr>
    </w:p>
    <w:p>
      <w:pPr>
        <w:numPr>
          <w:ilvl w:val="0"/>
          <w:numId w:val="0"/>
        </w:numPr>
        <w:ind w:firstLine="631" w:firstLineChars="200"/>
        <w:rPr>
          <w:rFonts w:ascii="仿宋" w:hAnsi="仿宋" w:eastAsia="仿宋" w:cs="仿宋"/>
          <w:b/>
          <w:bCs/>
          <w:sz w:val="32"/>
          <w:szCs w:val="32"/>
        </w:rPr>
      </w:pPr>
      <w:bookmarkStart w:id="5" w:name="_Toc1653_WPSOffice_Level2"/>
      <w:bookmarkStart w:id="6" w:name="_Toc22880_WPSOffice_Level2"/>
      <w:r>
        <w:rPr>
          <w:rFonts w:hint="eastAsia" w:ascii="楷体" w:hAnsi="楷体" w:eastAsia="楷体" w:cs="楷体"/>
          <w:b/>
          <w:bCs/>
          <w:spacing w:val="-3"/>
          <w:sz w:val="32"/>
          <w:szCs w:val="32"/>
          <w:lang w:eastAsia="zh-CN"/>
        </w:rPr>
        <w:t>一、</w:t>
      </w:r>
      <w:r>
        <w:rPr>
          <w:rFonts w:hint="eastAsia" w:ascii="楷体" w:hAnsi="楷体" w:eastAsia="楷体" w:cs="楷体"/>
          <w:b/>
          <w:bCs/>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color w:val="FF0000"/>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1026.81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1026.81</w:t>
      </w:r>
      <w:r>
        <w:rPr>
          <w:rFonts w:hint="eastAsia" w:ascii="宋体" w:hAnsi="宋体" w:eastAsia="仿宋_GB2312" w:cs="Times New Roman"/>
          <w:sz w:val="32"/>
          <w:szCs w:val="32"/>
        </w:rPr>
        <w:t>万元</w:t>
      </w:r>
      <w:r>
        <w:rPr>
          <w:rFonts w:hint="eastAsia" w:ascii="宋体" w:hAnsi="宋体" w:eastAsia="仿宋_GB2312" w:cs="Times New Roman"/>
          <w:color w:val="auto"/>
          <w:sz w:val="32"/>
          <w:szCs w:val="32"/>
        </w:rPr>
        <w:t xml:space="preserve">。与 </w:t>
      </w:r>
      <w:r>
        <w:rPr>
          <w:rFonts w:hint="eastAsia" w:ascii="宋体" w:hAnsi="宋体" w:eastAsia="仿宋_GB2312" w:cs="Times New Roman"/>
          <w:color w:val="auto"/>
          <w:sz w:val="32"/>
          <w:szCs w:val="32"/>
          <w:lang w:eastAsia="zh-CN"/>
        </w:rPr>
        <w:t>2020</w:t>
      </w:r>
      <w:r>
        <w:rPr>
          <w:rFonts w:hint="eastAsia" w:ascii="宋体" w:hAnsi="宋体" w:eastAsia="仿宋_GB2312" w:cs="Times New Roman"/>
          <w:color w:val="auto"/>
          <w:sz w:val="32"/>
          <w:szCs w:val="32"/>
        </w:rPr>
        <w:t>年相比,收入总计减少</w:t>
      </w:r>
      <w:r>
        <w:rPr>
          <w:rFonts w:hint="eastAsia" w:ascii="宋体" w:hAnsi="宋体" w:eastAsia="仿宋_GB2312" w:cs="Times New Roman"/>
          <w:color w:val="auto"/>
          <w:sz w:val="32"/>
          <w:szCs w:val="32"/>
          <w:lang w:val="en-US" w:eastAsia="zh-CN"/>
        </w:rPr>
        <w:t>261.46</w:t>
      </w:r>
      <w:r>
        <w:rPr>
          <w:rFonts w:hint="eastAsia" w:ascii="宋体" w:hAnsi="宋体" w:eastAsia="仿宋_GB2312" w:cs="Times New Roman"/>
          <w:color w:val="auto"/>
          <w:sz w:val="32"/>
          <w:szCs w:val="32"/>
        </w:rPr>
        <w:t>万元，支出总计减少</w:t>
      </w:r>
      <w:r>
        <w:rPr>
          <w:rFonts w:hint="eastAsia" w:ascii="宋体" w:hAnsi="宋体" w:eastAsia="仿宋_GB2312" w:cs="Times New Roman"/>
          <w:color w:val="auto"/>
          <w:sz w:val="32"/>
          <w:szCs w:val="32"/>
          <w:lang w:val="en-US" w:eastAsia="zh-CN"/>
        </w:rPr>
        <w:t>261.46</w:t>
      </w:r>
      <w:r>
        <w:rPr>
          <w:rFonts w:hint="eastAsia" w:ascii="宋体" w:hAnsi="宋体" w:eastAsia="仿宋_GB2312" w:cs="Times New Roman"/>
          <w:color w:val="auto"/>
          <w:sz w:val="32"/>
          <w:szCs w:val="32"/>
        </w:rPr>
        <w:t>万元。主要原因是：</w:t>
      </w:r>
      <w:r>
        <w:rPr>
          <w:rFonts w:hint="eastAsia" w:ascii="宋体" w:hAnsi="宋体" w:eastAsia="仿宋_GB2312" w:cs="Times New Roman"/>
          <w:color w:val="auto"/>
          <w:sz w:val="32"/>
          <w:szCs w:val="32"/>
          <w:lang w:eastAsia="zh-CN"/>
        </w:rPr>
        <w:t>医疗救助待遇支付减少。</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二、收入决算情况说明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1026.81</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1026.81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1026.81</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67.81</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959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四、财政拨款收入支出决算总体情况说明</w:t>
      </w:r>
      <w:bookmarkEnd w:id="10"/>
      <w:bookmarkEnd w:id="11"/>
    </w:p>
    <w:p>
      <w:pPr>
        <w:spacing w:line="204" w:lineRule="auto"/>
        <w:ind w:firstLine="667"/>
        <w:jc w:val="left"/>
        <w:rPr>
          <w:rFonts w:hint="eastAsia" w:ascii="仿宋" w:hAnsi="仿宋" w:eastAsia="仿宋" w:cs="仿宋"/>
          <w:color w:val="FF0000"/>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1026.81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10</w:t>
      </w:r>
      <w:r>
        <w:rPr>
          <w:rFonts w:hint="eastAsia" w:ascii="宋体" w:hAnsi="宋体" w:eastAsia="仿宋_GB2312" w:cs="Times New Roman"/>
          <w:color w:val="auto"/>
          <w:sz w:val="32"/>
          <w:szCs w:val="32"/>
          <w:lang w:val="en-US" w:eastAsia="zh-CN"/>
        </w:rPr>
        <w:t>26.81</w:t>
      </w:r>
      <w:r>
        <w:rPr>
          <w:rFonts w:hint="eastAsia" w:ascii="宋体" w:hAnsi="宋体" w:eastAsia="仿宋_GB2312" w:cs="Times New Roman"/>
          <w:color w:val="auto"/>
          <w:sz w:val="32"/>
          <w:szCs w:val="32"/>
        </w:rPr>
        <w:t>万元。</w:t>
      </w:r>
      <w:r>
        <w:rPr>
          <w:rFonts w:hint="eastAsia" w:ascii="仿宋" w:hAnsi="仿宋" w:eastAsia="仿宋" w:cs="仿宋"/>
          <w:color w:val="auto"/>
          <w:sz w:val="32"/>
          <w:szCs w:val="32"/>
          <w:lang w:val="en-US" w:eastAsia="zh-CN"/>
        </w:rPr>
        <w:t>与 2020 年相比，财政拨款收入总计</w:t>
      </w:r>
      <w:r>
        <w:rPr>
          <w:rFonts w:hint="eastAsia" w:ascii="宋体" w:hAnsi="宋体" w:eastAsia="仿宋_GB2312" w:cs="Times New Roman"/>
          <w:color w:val="auto"/>
          <w:sz w:val="32"/>
          <w:szCs w:val="32"/>
        </w:rPr>
        <w:t>减少</w:t>
      </w:r>
      <w:r>
        <w:rPr>
          <w:rFonts w:hint="eastAsia" w:ascii="宋体" w:hAnsi="宋体" w:eastAsia="仿宋_GB2312" w:cs="Times New Roman"/>
          <w:color w:val="auto"/>
          <w:sz w:val="32"/>
          <w:szCs w:val="32"/>
          <w:lang w:val="en-US" w:eastAsia="zh-CN"/>
        </w:rPr>
        <w:t>261.46</w:t>
      </w:r>
      <w:r>
        <w:rPr>
          <w:rFonts w:hint="eastAsia" w:ascii="仿宋" w:hAnsi="仿宋" w:eastAsia="仿宋" w:cs="仿宋"/>
          <w:color w:val="auto"/>
          <w:sz w:val="32"/>
          <w:szCs w:val="32"/>
          <w:lang w:val="en-US" w:eastAsia="zh-CN"/>
        </w:rPr>
        <w:t>万元，降低20.3%。主要原因是：</w:t>
      </w:r>
      <w:r>
        <w:rPr>
          <w:rFonts w:hint="eastAsia" w:ascii="宋体" w:hAnsi="宋体" w:eastAsia="仿宋_GB2312" w:cs="Times New Roman"/>
          <w:color w:val="auto"/>
          <w:sz w:val="32"/>
          <w:szCs w:val="32"/>
          <w:lang w:eastAsia="zh-CN"/>
        </w:rPr>
        <w:t>医疗救助待遇支付减少。</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五、一般公共预算财政拨款支出决算情况说明</w:t>
      </w:r>
      <w:bookmarkEnd w:id="12"/>
      <w:bookmarkEnd w:id="13"/>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color w:val="auto"/>
          <w:sz w:val="32"/>
          <w:szCs w:val="32"/>
          <w:lang w:eastAsia="zh-CN"/>
        </w:rPr>
      </w:pPr>
      <w:r>
        <w:rPr>
          <w:rFonts w:hint="eastAsia" w:ascii="宋体" w:hAnsi="宋体" w:eastAsia="仿宋_GB2312" w:cs="Times New Roman"/>
          <w:color w:val="auto"/>
          <w:sz w:val="32"/>
          <w:szCs w:val="32"/>
          <w:lang w:eastAsia="zh-CN"/>
        </w:rPr>
        <w:t>2021</w:t>
      </w:r>
      <w:r>
        <w:rPr>
          <w:rFonts w:hint="eastAsia" w:ascii="宋体" w:hAnsi="宋体" w:eastAsia="仿宋_GB2312" w:cs="Times New Roman"/>
          <w:color w:val="auto"/>
          <w:sz w:val="32"/>
          <w:szCs w:val="32"/>
        </w:rPr>
        <w:t xml:space="preserve"> 年度财政拨款支出</w:t>
      </w:r>
      <w:r>
        <w:rPr>
          <w:rFonts w:hint="eastAsia" w:ascii="仿宋" w:hAnsi="仿宋" w:eastAsia="仿宋" w:cs="仿宋"/>
          <w:color w:val="auto"/>
          <w:sz w:val="32"/>
          <w:szCs w:val="32"/>
          <w:lang w:val="en-US" w:eastAsia="zh-CN"/>
        </w:rPr>
        <w:t>965.81</w:t>
      </w:r>
      <w:r>
        <w:rPr>
          <w:rFonts w:hint="eastAsia" w:ascii="宋体" w:hAnsi="宋体" w:eastAsia="仿宋_GB2312" w:cs="Times New Roman"/>
          <w:color w:val="auto"/>
          <w:sz w:val="32"/>
          <w:szCs w:val="32"/>
        </w:rPr>
        <w:t xml:space="preserve">万元，与 </w:t>
      </w:r>
      <w:r>
        <w:rPr>
          <w:rFonts w:hint="eastAsia" w:ascii="宋体" w:hAnsi="宋体" w:eastAsia="仿宋_GB2312" w:cs="Times New Roman"/>
          <w:color w:val="auto"/>
          <w:sz w:val="32"/>
          <w:szCs w:val="32"/>
          <w:lang w:eastAsia="zh-CN"/>
        </w:rPr>
        <w:t>2020</w:t>
      </w:r>
      <w:r>
        <w:rPr>
          <w:rFonts w:hint="eastAsia" w:ascii="宋体" w:hAnsi="宋体" w:eastAsia="仿宋_GB2312" w:cs="Times New Roman"/>
          <w:color w:val="auto"/>
          <w:sz w:val="32"/>
          <w:szCs w:val="32"/>
        </w:rPr>
        <w:t xml:space="preserve"> 年相比，财政拨款支出减少</w:t>
      </w:r>
      <w:r>
        <w:rPr>
          <w:rFonts w:hint="eastAsia" w:ascii="宋体" w:hAnsi="宋体" w:eastAsia="仿宋_GB2312" w:cs="Times New Roman"/>
          <w:color w:val="auto"/>
          <w:sz w:val="32"/>
          <w:szCs w:val="32"/>
          <w:lang w:val="en-US" w:eastAsia="zh-CN"/>
        </w:rPr>
        <w:t>252.46</w:t>
      </w:r>
      <w:r>
        <w:rPr>
          <w:rFonts w:hint="eastAsia" w:ascii="宋体" w:hAnsi="宋体" w:eastAsia="仿宋_GB2312" w:cs="Times New Roman"/>
          <w:color w:val="auto"/>
          <w:sz w:val="32"/>
          <w:szCs w:val="32"/>
        </w:rPr>
        <w:t>万元。主要原因是：</w:t>
      </w:r>
      <w:r>
        <w:rPr>
          <w:rFonts w:hint="eastAsia" w:ascii="宋体" w:hAnsi="宋体" w:eastAsia="仿宋_GB2312" w:cs="Times New Roman"/>
          <w:color w:val="auto"/>
          <w:sz w:val="32"/>
          <w:szCs w:val="32"/>
          <w:lang w:eastAsia="zh-CN"/>
        </w:rPr>
        <w:t>医疗救助待遇支付减少。</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965.81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财政对城乡居民基本养老保险基金的补助</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770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79.73</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城乡医疗救助</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108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11.18</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医疗保障管理事务行政运行支出</w:t>
      </w:r>
      <w:r>
        <w:rPr>
          <w:rFonts w:hint="eastAsia" w:ascii="宋体" w:hAnsi="宋体" w:eastAsia="仿宋_GB2312" w:cs="Times New Roman"/>
          <w:sz w:val="32"/>
          <w:szCs w:val="32"/>
          <w:lang w:val="en-US" w:eastAsia="zh-CN"/>
        </w:rPr>
        <w:t>67.81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7.02</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其他医疗保障管理事务支出20万元，占2.07%。</w:t>
      </w:r>
    </w:p>
    <w:p>
      <w:pPr>
        <w:ind w:firstLine="640" w:firstLineChars="200"/>
        <w:rPr>
          <w:rFonts w:ascii="宋体" w:hAnsi="宋体" w:eastAsia="仿宋_GB2312" w:cs="Times New Roman"/>
          <w:color w:val="auto"/>
          <w:sz w:val="32"/>
          <w:szCs w:val="32"/>
        </w:rPr>
      </w:pPr>
      <w:r>
        <w:rPr>
          <w:rFonts w:hint="eastAsia" w:ascii="宋体" w:hAnsi="宋体" w:eastAsia="仿宋_GB2312" w:cs="Times New Roman"/>
          <w:color w:val="auto"/>
          <w:sz w:val="32"/>
          <w:szCs w:val="32"/>
        </w:rPr>
        <w:t>3.一般公共预算财政拨款支出决算具体情况。</w:t>
      </w:r>
    </w:p>
    <w:p>
      <w:pPr>
        <w:ind w:firstLine="640" w:firstLineChars="200"/>
        <w:rPr>
          <w:rFonts w:ascii="仿宋" w:hAnsi="仿宋" w:eastAsia="仿宋" w:cs="仿宋"/>
          <w:color w:val="auto"/>
          <w:spacing w:val="4"/>
          <w:sz w:val="32"/>
          <w:szCs w:val="32"/>
        </w:rPr>
      </w:pPr>
      <w:r>
        <w:rPr>
          <w:rFonts w:hint="eastAsia" w:ascii="宋体" w:hAnsi="宋体" w:eastAsia="仿宋_GB2312" w:cs="Times New Roman"/>
          <w:color w:val="auto"/>
          <w:sz w:val="32"/>
          <w:szCs w:val="32"/>
          <w:lang w:eastAsia="zh-CN"/>
        </w:rPr>
        <w:t>2021</w:t>
      </w:r>
      <w:r>
        <w:rPr>
          <w:rFonts w:hint="eastAsia" w:ascii="宋体" w:hAnsi="宋体" w:eastAsia="仿宋_GB2312" w:cs="Times New Roman"/>
          <w:color w:val="auto"/>
          <w:sz w:val="32"/>
          <w:szCs w:val="32"/>
        </w:rPr>
        <w:t>年度一般公共预算财政拨款支出当年调整预算数</w:t>
      </w:r>
      <w:r>
        <w:rPr>
          <w:rFonts w:hint="eastAsia" w:ascii="仿宋" w:hAnsi="仿宋" w:eastAsia="仿宋" w:cs="仿宋"/>
          <w:color w:val="auto"/>
          <w:sz w:val="32"/>
          <w:szCs w:val="32"/>
          <w:lang w:val="en-US" w:eastAsia="zh-CN"/>
        </w:rPr>
        <w:t>965.81</w:t>
      </w:r>
      <w:r>
        <w:rPr>
          <w:rFonts w:hint="eastAsia" w:ascii="宋体" w:hAnsi="宋体" w:eastAsia="仿宋_GB2312" w:cs="Times New Roman"/>
          <w:color w:val="auto"/>
          <w:sz w:val="32"/>
          <w:szCs w:val="32"/>
        </w:rPr>
        <w:t>万元，支出决算为</w:t>
      </w:r>
      <w:r>
        <w:rPr>
          <w:rFonts w:hint="eastAsia" w:ascii="仿宋" w:hAnsi="仿宋" w:eastAsia="仿宋" w:cs="仿宋"/>
          <w:color w:val="auto"/>
          <w:sz w:val="32"/>
          <w:szCs w:val="32"/>
          <w:lang w:val="en-US" w:eastAsia="zh-CN"/>
        </w:rPr>
        <w:t>965.81</w:t>
      </w:r>
      <w:r>
        <w:rPr>
          <w:rFonts w:hint="eastAsia" w:ascii="宋体" w:hAnsi="宋体" w:eastAsia="仿宋_GB2312" w:cs="Times New Roman"/>
          <w:color w:val="auto"/>
          <w:sz w:val="32"/>
          <w:szCs w:val="32"/>
        </w:rPr>
        <w:t>万元，完成当年调整预算的</w:t>
      </w:r>
      <w:r>
        <w:rPr>
          <w:rFonts w:hint="eastAsia" w:ascii="宋体" w:hAnsi="宋体" w:eastAsia="仿宋_GB2312" w:cs="Times New Roman"/>
          <w:color w:val="auto"/>
          <w:sz w:val="32"/>
          <w:szCs w:val="32"/>
          <w:lang w:val="en-US" w:eastAsia="zh-CN"/>
        </w:rPr>
        <w:t>100</w:t>
      </w:r>
      <w:r>
        <w:rPr>
          <w:rFonts w:hint="eastAsia" w:ascii="宋体" w:hAnsi="宋体" w:eastAsia="仿宋_GB2312" w:cs="Times New Roman"/>
          <w:color w:val="auto"/>
          <w:sz w:val="32"/>
          <w:szCs w:val="32"/>
        </w:rPr>
        <w:t>%。</w:t>
      </w:r>
    </w:p>
    <w:p>
      <w:pPr>
        <w:spacing w:line="204" w:lineRule="auto"/>
        <w:ind w:firstLine="631" w:firstLineChars="200"/>
        <w:jc w:val="left"/>
        <w:rPr>
          <w:rFonts w:ascii="楷体" w:hAnsi="楷体" w:eastAsia="楷体" w:cs="楷体"/>
          <w:b/>
          <w:bCs/>
          <w:spacing w:val="-3"/>
          <w:sz w:val="32"/>
          <w:szCs w:val="32"/>
        </w:rPr>
      </w:pPr>
      <w:r>
        <w:rPr>
          <w:rFonts w:hint="eastAsia" w:ascii="楷体" w:hAnsi="楷体" w:eastAsia="楷体" w:cs="楷体"/>
          <w:b/>
          <w:bCs/>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67.81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60.55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60.55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7.26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7.26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与同年预算相比无增减；与2020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决算数相比无增减。原因是本单位无“三公”经费。</w:t>
      </w:r>
    </w:p>
    <w:bookmarkEnd w:id="18"/>
    <w:bookmarkEnd w:id="19"/>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lang w:eastAsia="zh-CN"/>
        </w:rPr>
        <w:t>八、</w:t>
      </w:r>
      <w:r>
        <w:rPr>
          <w:rFonts w:hint="eastAsia" w:ascii="楷体" w:hAnsi="楷体" w:eastAsia="楷体" w:cs="楷体"/>
          <w:b/>
          <w:bCs/>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61</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61</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其他支出彩票公益金安排的支出用于城乡医疗救助的彩票公益金支出</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val="en-US" w:eastAsia="zh-CN"/>
        </w:rPr>
        <w:t>61</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eastAsia="zh-CN"/>
        </w:rPr>
        <w:t>医疗救助支出</w:t>
      </w:r>
      <w:r>
        <w:rPr>
          <w:rFonts w:hint="eastAsia" w:ascii="宋体" w:hAnsi="宋体" w:eastAsia="仿宋_GB2312" w:cs="Times New Roman"/>
          <w:sz w:val="32"/>
          <w:szCs w:val="32"/>
        </w:rPr>
        <w:t>。</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lang w:eastAsia="zh-CN"/>
        </w:rPr>
        <w:t>九、</w:t>
      </w:r>
      <w:r>
        <w:rPr>
          <w:rFonts w:hint="eastAsia" w:ascii="楷体" w:hAnsi="楷体" w:eastAsia="楷体" w:cs="楷体"/>
          <w:b/>
          <w:bCs/>
          <w:spacing w:val="-3"/>
          <w:sz w:val="32"/>
          <w:szCs w:val="32"/>
        </w:rPr>
        <w:t>其他重要事项的情况说明</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单位机关运行经费支出</w:t>
      </w:r>
      <w:r>
        <w:rPr>
          <w:rFonts w:hint="eastAsia" w:ascii="宋体" w:hAnsi="宋体" w:eastAsia="仿宋_GB2312" w:cs="Times New Roman"/>
          <w:color w:val="000000" w:themeColor="text1"/>
          <w:sz w:val="32"/>
          <w:szCs w:val="32"/>
          <w:lang w:val="en-US" w:eastAsia="zh-CN"/>
          <w14:textFill>
            <w14:solidFill>
              <w14:schemeClr w14:val="tx1"/>
            </w14:solidFill>
          </w14:textFill>
        </w:rPr>
        <w:t>7.26</w:t>
      </w:r>
      <w:r>
        <w:rPr>
          <w:rFonts w:hint="eastAsia" w:ascii="宋体" w:hAnsi="宋体" w:eastAsia="仿宋_GB2312" w:cs="Times New Roman"/>
          <w:color w:val="000000" w:themeColor="text1"/>
          <w:sz w:val="32"/>
          <w:szCs w:val="32"/>
          <w14:textFill>
            <w14:solidFill>
              <w14:schemeClr w14:val="tx1"/>
            </w14:solidFill>
          </w14:textFill>
        </w:rPr>
        <w:t>万元，比</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年增加</w:t>
      </w:r>
      <w:r>
        <w:rPr>
          <w:rFonts w:hint="eastAsia" w:ascii="宋体" w:hAnsi="宋体" w:eastAsia="仿宋_GB2312" w:cs="Times New Roman"/>
          <w:color w:val="000000" w:themeColor="text1"/>
          <w:sz w:val="32"/>
          <w:szCs w:val="32"/>
          <w:lang w:val="en-US" w:eastAsia="zh-CN"/>
          <w14:textFill>
            <w14:solidFill>
              <w14:schemeClr w14:val="tx1"/>
            </w14:solidFill>
          </w14:textFill>
        </w:rPr>
        <w:t>1.14</w:t>
      </w:r>
      <w:r>
        <w:rPr>
          <w:rFonts w:hint="eastAsia" w:ascii="宋体" w:hAnsi="宋体" w:eastAsia="仿宋_GB2312" w:cs="Times New Roman"/>
          <w:color w:val="000000" w:themeColor="text1"/>
          <w:sz w:val="32"/>
          <w:szCs w:val="32"/>
          <w14:textFill>
            <w14:solidFill>
              <w14:schemeClr w14:val="tx1"/>
            </w14:solidFill>
          </w14:textFill>
        </w:rPr>
        <w:t>万元，增长</w:t>
      </w:r>
      <w:r>
        <w:rPr>
          <w:rFonts w:hint="eastAsia" w:ascii="宋体" w:hAnsi="宋体" w:eastAsia="仿宋_GB2312" w:cs="Times New Roman"/>
          <w:color w:val="000000" w:themeColor="text1"/>
          <w:sz w:val="32"/>
          <w:szCs w:val="32"/>
          <w:lang w:val="en-US" w:eastAsia="zh-CN"/>
          <w14:textFill>
            <w14:solidFill>
              <w14:schemeClr w14:val="tx1"/>
            </w14:solidFill>
          </w14:textFill>
        </w:rPr>
        <w:t>18.63</w:t>
      </w:r>
      <w:r>
        <w:rPr>
          <w:rFonts w:hint="eastAsia" w:ascii="宋体" w:hAnsi="宋体" w:eastAsia="仿宋_GB2312" w:cs="Times New Roman"/>
          <w:color w:val="000000" w:themeColor="text1"/>
          <w:sz w:val="32"/>
          <w:szCs w:val="32"/>
          <w14:textFill>
            <w14:solidFill>
              <w14:schemeClr w14:val="tx1"/>
            </w14:solidFill>
          </w14:textFill>
        </w:rPr>
        <w:t>%，主要原因是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2021年有两位同志职级晋升，其他交通费用增加</w:t>
      </w:r>
      <w:r>
        <w:rPr>
          <w:rFonts w:hint="eastAsia" w:ascii="宋体" w:hAnsi="宋体" w:eastAsia="仿宋_GB2312" w:cs="Times New Roman"/>
          <w:color w:val="000000" w:themeColor="text1"/>
          <w:sz w:val="32"/>
          <w:szCs w:val="32"/>
          <w14:textFill>
            <w14:solidFill>
              <w14:schemeClr w14:val="tx1"/>
            </w14:solidFill>
          </w14:textFill>
        </w:rPr>
        <w:t>。</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2021年我单位无</w:t>
      </w:r>
      <w:r>
        <w:rPr>
          <w:rFonts w:hint="eastAsia" w:ascii="宋体" w:hAnsi="宋体" w:eastAsia="仿宋_GB2312" w:cs="Times New Roman"/>
          <w:sz w:val="32"/>
          <w:szCs w:val="32"/>
        </w:rPr>
        <w:t>政府采购业务支出情况。</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w:t>
      </w:r>
      <w:r>
        <w:rPr>
          <w:rFonts w:hint="eastAsia" w:ascii="宋体" w:hAnsi="宋体" w:eastAsia="仿宋_GB2312" w:cs="Times New Roman"/>
          <w:sz w:val="32"/>
          <w:szCs w:val="32"/>
          <w:lang w:eastAsia="zh-CN"/>
        </w:rPr>
        <w:t>单位</w:t>
      </w:r>
      <w:r>
        <w:rPr>
          <w:rFonts w:hint="eastAsia" w:ascii="宋体" w:hAnsi="宋体" w:eastAsia="仿宋_GB2312" w:cs="Times New Roman"/>
          <w:sz w:val="32"/>
          <w:szCs w:val="32"/>
        </w:rPr>
        <w:t>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0"/>
        </w:num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4.</w:t>
      </w: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color w:val="auto"/>
          <w:sz w:val="32"/>
          <w:szCs w:val="32"/>
        </w:rPr>
      </w:pPr>
      <w:r>
        <w:rPr>
          <w:rFonts w:hint="eastAsia" w:ascii="宋体" w:hAnsi="宋体" w:eastAsia="仿宋_GB2312" w:cs="Times New Roman"/>
          <w:color w:val="auto"/>
          <w:sz w:val="32"/>
          <w:szCs w:val="32"/>
        </w:rPr>
        <w:t>(1)项目绩效评价工作开展情况，包括项目绩效目标、支出绩效评价等情况。</w:t>
      </w:r>
    </w:p>
    <w:p>
      <w:pPr>
        <w:ind w:firstLine="640" w:firstLineChars="200"/>
        <w:rPr>
          <w:rFonts w:hint="eastAsia"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eastAsia="zh-CN"/>
        </w:rPr>
        <w:t>2021</w:t>
      </w:r>
      <w:r>
        <w:rPr>
          <w:rFonts w:hint="eastAsia" w:ascii="宋体" w:hAnsi="宋体" w:eastAsia="仿宋_GB2312" w:cs="Times New Roman"/>
          <w:color w:val="auto"/>
          <w:sz w:val="32"/>
          <w:szCs w:val="32"/>
        </w:rPr>
        <w:t>年度单位实行绩效目标管理的项目</w:t>
      </w:r>
      <w:r>
        <w:rPr>
          <w:rFonts w:hint="eastAsia" w:ascii="宋体" w:hAnsi="宋体" w:eastAsia="仿宋_GB2312" w:cs="Times New Roman"/>
          <w:color w:val="auto"/>
          <w:sz w:val="32"/>
          <w:szCs w:val="32"/>
          <w:lang w:val="en-US" w:eastAsia="zh-CN"/>
        </w:rPr>
        <w:t>2个。一是</w:t>
      </w:r>
      <w:r>
        <w:rPr>
          <w:rFonts w:hint="eastAsia" w:ascii="宋体" w:hAnsi="宋体" w:eastAsia="仿宋_GB2312" w:cs="Times New Roman"/>
          <w:color w:val="auto"/>
          <w:sz w:val="32"/>
          <w:szCs w:val="32"/>
          <w:lang w:eastAsia="zh-CN"/>
        </w:rPr>
        <w:t>城乡医疗救助，</w:t>
      </w:r>
      <w:r>
        <w:rPr>
          <w:rFonts w:hint="eastAsia" w:ascii="宋体" w:hAnsi="宋体" w:eastAsia="仿宋_GB2312" w:cs="Times New Roman"/>
          <w:color w:val="auto"/>
          <w:sz w:val="32"/>
          <w:szCs w:val="32"/>
        </w:rPr>
        <w:t>涉及一般公共预算当年拨款</w:t>
      </w:r>
      <w:r>
        <w:rPr>
          <w:rFonts w:hint="eastAsia" w:ascii="宋体" w:hAnsi="宋体" w:eastAsia="仿宋_GB2312" w:cs="Times New Roman"/>
          <w:color w:val="auto"/>
          <w:sz w:val="32"/>
          <w:szCs w:val="32"/>
          <w:lang w:val="en-US" w:eastAsia="zh-CN"/>
        </w:rPr>
        <w:t>939</w:t>
      </w:r>
      <w:r>
        <w:rPr>
          <w:rFonts w:hint="eastAsia" w:ascii="宋体" w:hAnsi="宋体" w:eastAsia="仿宋_GB2312" w:cs="Times New Roman"/>
          <w:color w:val="auto"/>
          <w:sz w:val="32"/>
          <w:szCs w:val="32"/>
        </w:rPr>
        <w:t>万元</w:t>
      </w:r>
      <w:r>
        <w:rPr>
          <w:rFonts w:hint="eastAsia" w:ascii="宋体" w:hAnsi="宋体" w:eastAsia="仿宋_GB2312" w:cs="Times New Roman"/>
          <w:color w:val="auto"/>
          <w:sz w:val="32"/>
          <w:szCs w:val="32"/>
          <w:lang w:eastAsia="zh-CN"/>
        </w:rPr>
        <w:t>；二是其他医疗保障管理事务，</w:t>
      </w:r>
      <w:r>
        <w:rPr>
          <w:rFonts w:hint="eastAsia" w:ascii="宋体" w:hAnsi="宋体" w:eastAsia="仿宋_GB2312" w:cs="Times New Roman"/>
          <w:color w:val="auto"/>
          <w:sz w:val="32"/>
          <w:szCs w:val="32"/>
        </w:rPr>
        <w:t>涉及一般公共预算当年拨款</w:t>
      </w:r>
      <w:r>
        <w:rPr>
          <w:rFonts w:hint="eastAsia" w:ascii="宋体" w:hAnsi="宋体" w:eastAsia="仿宋_GB2312" w:cs="Times New Roman"/>
          <w:color w:val="auto"/>
          <w:sz w:val="32"/>
          <w:szCs w:val="32"/>
          <w:lang w:val="en-US" w:eastAsia="zh-CN"/>
        </w:rPr>
        <w:t>20</w:t>
      </w:r>
      <w:r>
        <w:rPr>
          <w:rFonts w:hint="eastAsia" w:ascii="宋体" w:hAnsi="宋体" w:eastAsia="仿宋_GB2312" w:cs="Times New Roman"/>
          <w:color w:val="auto"/>
          <w:sz w:val="32"/>
          <w:szCs w:val="32"/>
        </w:rPr>
        <w:t>万元</w:t>
      </w:r>
      <w:r>
        <w:rPr>
          <w:rFonts w:hint="eastAsia" w:ascii="宋体" w:hAnsi="宋体" w:eastAsia="仿宋_GB2312" w:cs="Times New Roman"/>
          <w:color w:val="auto"/>
          <w:sz w:val="32"/>
          <w:szCs w:val="32"/>
          <w:lang w:eastAsia="zh-CN"/>
        </w:rPr>
        <w:t>。</w:t>
      </w:r>
    </w:p>
    <w:p>
      <w:pPr>
        <w:ind w:firstLine="640" w:firstLineChars="200"/>
        <w:rPr>
          <w:rFonts w:hint="eastAsia" w:ascii="宋体" w:hAnsi="宋体" w:eastAsia="仿宋_GB2312" w:cs="Times New Roman"/>
          <w:color w:val="auto"/>
          <w:sz w:val="32"/>
          <w:szCs w:val="32"/>
        </w:rPr>
      </w:pPr>
      <w:r>
        <w:rPr>
          <w:rFonts w:hint="eastAsia" w:ascii="宋体" w:hAnsi="宋体" w:eastAsia="仿宋_GB2312" w:cs="Times New Roman"/>
          <w:color w:val="auto"/>
          <w:sz w:val="32"/>
          <w:szCs w:val="32"/>
        </w:rPr>
        <w:t>(2)绩效评价工作取得的成效。</w:t>
      </w:r>
    </w:p>
    <w:p>
      <w:pPr>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 xml:space="preserve">    实行绩效目标管理的2个项目均已完成。</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城乡医疗救助</w:t>
      </w:r>
      <w:r>
        <w:rPr>
          <w:rFonts w:hint="eastAsia" w:ascii="仿宋" w:hAnsi="仿宋" w:eastAsia="仿宋"/>
          <w:color w:val="auto"/>
          <w:sz w:val="32"/>
          <w:szCs w:val="32"/>
        </w:rPr>
        <w:t>统筹资助符合条件的困难群众参加城乡居民基本医疗保险</w:t>
      </w:r>
      <w:r>
        <w:rPr>
          <w:rFonts w:hint="eastAsia" w:ascii="仿宋" w:hAnsi="仿宋" w:eastAsia="仿宋"/>
          <w:color w:val="auto"/>
          <w:sz w:val="32"/>
          <w:szCs w:val="32"/>
          <w:lang w:eastAsia="zh-CN"/>
        </w:rPr>
        <w:t>共计</w:t>
      </w:r>
      <w:r>
        <w:rPr>
          <w:rFonts w:hint="eastAsia" w:ascii="仿宋" w:hAnsi="仿宋" w:eastAsia="仿宋"/>
          <w:color w:val="auto"/>
          <w:sz w:val="32"/>
          <w:szCs w:val="32"/>
          <w:lang w:val="en-US" w:eastAsia="zh-CN"/>
        </w:rPr>
        <w:t>40271人</w:t>
      </w:r>
      <w:r>
        <w:rPr>
          <w:rFonts w:hint="eastAsia" w:ascii="仿宋" w:hAnsi="仿宋" w:eastAsia="仿宋"/>
          <w:color w:val="auto"/>
          <w:sz w:val="32"/>
          <w:szCs w:val="32"/>
        </w:rPr>
        <w:t>，保障困难群众享受城乡居民基本医疗保险待遇，同时保障困难群众享受医疗救助各项政策和待遇</w:t>
      </w:r>
      <w:r>
        <w:rPr>
          <w:rFonts w:hint="eastAsia" w:ascii="仿宋" w:hAnsi="仿宋" w:eastAsia="仿宋"/>
          <w:color w:val="auto"/>
          <w:sz w:val="32"/>
          <w:szCs w:val="32"/>
          <w:lang w:eastAsia="zh-CN"/>
        </w:rPr>
        <w:t>共计</w:t>
      </w:r>
      <w:r>
        <w:rPr>
          <w:rFonts w:hint="eastAsia" w:ascii="仿宋" w:hAnsi="仿宋" w:eastAsia="仿宋"/>
          <w:color w:val="auto"/>
          <w:sz w:val="32"/>
          <w:szCs w:val="32"/>
          <w:lang w:val="en-US" w:eastAsia="zh-CN"/>
        </w:rPr>
        <w:t>1062人。</w:t>
      </w:r>
    </w:p>
    <w:p>
      <w:pPr>
        <w:pStyle w:val="2"/>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eastAsia="zh-CN"/>
        </w:rPr>
        <w:t>其他医疗保障管理事务支出主要用于</w:t>
      </w:r>
      <w:r>
        <w:rPr>
          <w:rFonts w:hint="eastAsia" w:ascii="宋体" w:hAnsi="宋体" w:eastAsia="仿宋_GB2312" w:cs="Times New Roman"/>
          <w:color w:val="auto"/>
          <w:sz w:val="32"/>
          <w:szCs w:val="32"/>
          <w:lang w:val="en-US" w:eastAsia="zh-CN"/>
        </w:rPr>
        <w:t>医疗服务与保障能力提升。</w:t>
      </w:r>
    </w:p>
    <w:p>
      <w:pPr>
        <w:pStyle w:val="2"/>
        <w:rPr>
          <w:rFonts w:hint="eastAsia" w:ascii="宋体" w:hAnsi="宋体" w:eastAsia="仿宋_GB2312" w:cs="Times New Roman"/>
          <w:color w:val="auto"/>
          <w:sz w:val="32"/>
          <w:szCs w:val="32"/>
          <w:lang w:eastAsia="zh-CN"/>
        </w:rPr>
      </w:pPr>
      <w:r>
        <w:rPr>
          <w:rFonts w:hint="eastAsia" w:ascii="宋体" w:hAnsi="宋体" w:eastAsia="仿宋_GB2312" w:cs="Times New Roman"/>
          <w:color w:val="auto"/>
          <w:sz w:val="32"/>
          <w:szCs w:val="32"/>
          <w:lang w:eastAsia="zh-CN"/>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hint="eastAsia" w:ascii="黑体" w:hAnsi="黑体" w:eastAsia="黑体" w:cs="黑体"/>
          <w:snapToGrid w:val="0"/>
          <w:spacing w:val="-4"/>
          <w:kern w:val="0"/>
          <w:sz w:val="32"/>
          <w:szCs w:val="32"/>
        </w:rPr>
      </w:pPr>
      <w:bookmarkStart w:id="20" w:name="_Toc8549_WPSOffice_Level1"/>
      <w:bookmarkStart w:id="21" w:name="_Toc32537"/>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w:t>
      </w: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2、</w:t>
      </w: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3、</w:t>
      </w: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4、</w:t>
      </w: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5、</w:t>
      </w: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6、</w:t>
      </w: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7、</w:t>
      </w: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8、</w:t>
      </w: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9、</w:t>
      </w: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10、</w:t>
      </w: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11、</w:t>
      </w: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12、</w:t>
      </w: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13、</w:t>
      </w: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14、</w:t>
      </w: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15、</w:t>
      </w: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16、</w:t>
      </w: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jNhODFjMzRjYzgwNjJmYjJhMTMxZjI5YjYwMDkifQ=="/>
  </w:docVars>
  <w:rsids>
    <w:rsidRoot w:val="7E3F0B7D"/>
    <w:rsid w:val="000014A7"/>
    <w:rsid w:val="00052B5B"/>
    <w:rsid w:val="00774AFB"/>
    <w:rsid w:val="00E4217F"/>
    <w:rsid w:val="09CD27F9"/>
    <w:rsid w:val="0E115DFD"/>
    <w:rsid w:val="11D27EAE"/>
    <w:rsid w:val="12F86426"/>
    <w:rsid w:val="17B94EE1"/>
    <w:rsid w:val="1FDE106D"/>
    <w:rsid w:val="20D97C1B"/>
    <w:rsid w:val="23553F43"/>
    <w:rsid w:val="2931759B"/>
    <w:rsid w:val="299664C8"/>
    <w:rsid w:val="2E0A76CA"/>
    <w:rsid w:val="2F0F7843"/>
    <w:rsid w:val="2FD47F8F"/>
    <w:rsid w:val="31541388"/>
    <w:rsid w:val="3A2B48F8"/>
    <w:rsid w:val="3B133C60"/>
    <w:rsid w:val="3DB14814"/>
    <w:rsid w:val="3DF5589F"/>
    <w:rsid w:val="3F28132A"/>
    <w:rsid w:val="481B3E57"/>
    <w:rsid w:val="49221B6F"/>
    <w:rsid w:val="4CDF0282"/>
    <w:rsid w:val="51361FFF"/>
    <w:rsid w:val="555D1395"/>
    <w:rsid w:val="5B0251B0"/>
    <w:rsid w:val="5B192ED6"/>
    <w:rsid w:val="5B8259CB"/>
    <w:rsid w:val="5D2E6280"/>
    <w:rsid w:val="5D8A7914"/>
    <w:rsid w:val="64381971"/>
    <w:rsid w:val="644B7B19"/>
    <w:rsid w:val="6544153D"/>
    <w:rsid w:val="655E1BCB"/>
    <w:rsid w:val="676F2AC9"/>
    <w:rsid w:val="68633EF1"/>
    <w:rsid w:val="68CD37BD"/>
    <w:rsid w:val="69A022B3"/>
    <w:rsid w:val="6C940C35"/>
    <w:rsid w:val="72A52152"/>
    <w:rsid w:val="72E72D01"/>
    <w:rsid w:val="7A94376E"/>
    <w:rsid w:val="7E3F0B7D"/>
    <w:rsid w:val="7E7D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4333</Words>
  <Characters>4603</Characters>
  <Lines>5</Lines>
  <Paragraphs>7</Paragraphs>
  <TotalTime>1210</TotalTime>
  <ScaleCrop>false</ScaleCrop>
  <LinksUpToDate>false</LinksUpToDate>
  <CharactersWithSpaces>4668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2022-09-19T04:07:00Z</cp:lastPrinted>
  <dcterms:modified xsi:type="dcterms:W3CDTF">2022-09-20T01:29:40Z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EEA4AC5C3E9F4F958785722BE0CBF9B9</vt:lpwstr>
  </property>
</Properties>
</file>