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sz w:val="48"/>
          <w:szCs w:val="48"/>
          <w:lang w:val="en-US" w:eastAsia="zh-CN"/>
        </w:rPr>
      </w:pPr>
    </w:p>
    <w:p>
      <w:pPr>
        <w:jc w:val="center"/>
        <w:rPr>
          <w:rFonts w:hint="eastAsia" w:ascii="黑体" w:eastAsia="黑体"/>
          <w:sz w:val="44"/>
          <w:szCs w:val="44"/>
          <w:lang w:val="en-US" w:eastAsia="zh-CN"/>
        </w:rPr>
      </w:pPr>
      <w:r>
        <w:rPr>
          <w:rFonts w:hint="eastAsia" w:ascii="黑体" w:eastAsia="黑体"/>
          <w:sz w:val="44"/>
          <w:szCs w:val="44"/>
          <w:lang w:val="en-US" w:eastAsia="zh-CN"/>
        </w:rPr>
        <w:t xml:space="preserve"> </w:t>
      </w:r>
      <w:bookmarkStart w:id="22" w:name="_GoBack"/>
      <w:bookmarkEnd w:id="22"/>
      <w:r>
        <w:rPr>
          <w:rFonts w:hint="eastAsia" w:ascii="黑体" w:eastAsia="黑体"/>
          <w:sz w:val="44"/>
          <w:szCs w:val="44"/>
          <w:lang w:val="en-US" w:eastAsia="zh-CN"/>
        </w:rPr>
        <w:t>朔州市朔城区农田建设服务中心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bidi w:val="0"/>
        <w:rPr>
          <w:rFonts w:ascii="宋体" w:hAnsi="宋体" w:cs="宋体"/>
          <w:b/>
          <w:sz w:val="32"/>
          <w:szCs w:val="32"/>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widowControl/>
        <w:ind w:left="2" w:firstLine="480"/>
        <w:jc w:val="left"/>
        <w:rPr>
          <w:rFonts w:hint="eastAsia" w:ascii="宋体" w:hAnsi="宋体" w:cs="宋体"/>
          <w:spacing w:val="-3"/>
          <w:sz w:val="30"/>
          <w:szCs w:val="30"/>
        </w:rPr>
      </w:pPr>
      <w:r>
        <w:rPr>
          <w:rFonts w:hint="eastAsia" w:ascii="宋体" w:hAnsi="宋体" w:cs="宋体"/>
          <w:spacing w:val="-3"/>
          <w:sz w:val="30"/>
          <w:szCs w:val="30"/>
        </w:rPr>
        <w:t>（一）部门职责</w:t>
      </w:r>
    </w:p>
    <w:p>
      <w:pPr>
        <w:widowControl/>
        <w:ind w:left="2" w:firstLine="480"/>
        <w:jc w:val="left"/>
        <w:rPr>
          <w:rFonts w:hint="eastAsia" w:ascii="宋体" w:hAnsi="宋体" w:cs="宋体"/>
          <w:spacing w:val="-3"/>
          <w:sz w:val="30"/>
          <w:szCs w:val="30"/>
          <w:highlight w:val="none"/>
        </w:rPr>
      </w:pPr>
      <w:r>
        <w:rPr>
          <w:rFonts w:hint="eastAsia" w:ascii="宋体" w:hAnsi="宋体" w:cs="宋体"/>
          <w:spacing w:val="-3"/>
          <w:sz w:val="30"/>
          <w:szCs w:val="30"/>
          <w:highlight w:val="none"/>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widowControl/>
        <w:ind w:left="2" w:firstLine="480"/>
        <w:jc w:val="left"/>
        <w:rPr>
          <w:rFonts w:hint="eastAsia" w:ascii="宋体" w:hAnsi="宋体" w:cs="宋体"/>
          <w:spacing w:val="-3"/>
          <w:sz w:val="30"/>
          <w:szCs w:val="30"/>
        </w:rPr>
      </w:pPr>
      <w:bookmarkStart w:id="2" w:name="_Toc7430_WPSOffice_Level1"/>
      <w:r>
        <w:rPr>
          <w:rFonts w:hint="eastAsia" w:ascii="宋体" w:hAnsi="宋体" w:cs="宋体"/>
          <w:spacing w:val="-3"/>
          <w:sz w:val="30"/>
          <w:szCs w:val="30"/>
        </w:rPr>
        <w:t>（一）部门职责</w:t>
      </w:r>
    </w:p>
    <w:p>
      <w:pPr>
        <w:widowControl/>
        <w:ind w:left="2" w:firstLine="480"/>
        <w:jc w:val="left"/>
        <w:rPr>
          <w:rFonts w:hint="eastAsia" w:ascii="仿宋" w:hAnsi="仿宋" w:eastAsia="仿宋" w:cs="仿宋"/>
          <w:sz w:val="36"/>
          <w:szCs w:val="36"/>
          <w:lang w:val="en-US" w:eastAsia="zh-CN"/>
        </w:rPr>
      </w:pPr>
      <w:r>
        <w:rPr>
          <w:rFonts w:hint="eastAsia" w:ascii="宋体" w:hAnsi="宋体" w:eastAsia="宋体" w:cs="宋体"/>
          <w:sz w:val="30"/>
          <w:szCs w:val="30"/>
          <w:highlight w:val="none"/>
        </w:rPr>
        <w:t>1、贯彻落实农业综合开发政策和法规，向农民群众和社会宣传农业综合开发的方针政策；2、组织调查农业后备资源和编制全区农业综合开发总体规划、立项前的调查准备、建立项目库、确定推荐项目和组织评估论证等；3、编制年度项目计划、可行性研究报告和实施方案，产业化项目的考察、初步审核，并对于可行项目组织申报；4、管理和统筹安排农业综合开发资金，负责对上级下达的农业综合开发项目专项资金进行使用管理及支付报账，并负责督促乡村和项目企业自筹资金的落实和使用；5、指导、管理和组织农业综合开发项目实施；6、组织检查农业综合开发项目执行情况；对项目完成情况的初步验收及工程决算，落实工程管护主体；7、指导全区农业综合开发项目的科技进步，进行科技培训，提高项目区的综合效益；8、负责对上级部门进行的检查、验收等工作进行组织、汇报和总结。</w:t>
      </w:r>
    </w:p>
    <w:p>
      <w:pPr>
        <w:numPr>
          <w:ilvl w:val="0"/>
          <w:numId w:val="0"/>
        </w:numPr>
        <w:ind w:leftChars="0"/>
        <w:rPr>
          <w:rFonts w:ascii="仿宋" w:hAnsi="仿宋" w:eastAsia="仿宋" w:cs="仿宋"/>
          <w:sz w:val="36"/>
          <w:szCs w:val="36"/>
        </w:rPr>
      </w:pPr>
      <w:r>
        <w:rPr>
          <w:rFonts w:hint="eastAsia" w:ascii="仿宋" w:hAnsi="仿宋" w:eastAsia="仿宋" w:cs="仿宋"/>
          <w:sz w:val="36"/>
          <w:szCs w:val="36"/>
          <w:lang w:val="en-US" w:eastAsia="zh-CN"/>
        </w:rPr>
        <w:t>（二）</w:t>
      </w:r>
      <w:r>
        <w:rPr>
          <w:rFonts w:hint="eastAsia" w:ascii="仿宋" w:hAnsi="仿宋" w:eastAsia="仿宋" w:cs="仿宋"/>
          <w:sz w:val="36"/>
          <w:szCs w:val="36"/>
        </w:rPr>
        <w:t>部门机构设置</w:t>
      </w:r>
    </w:p>
    <w:p>
      <w:pPr>
        <w:spacing w:line="204" w:lineRule="auto"/>
        <w:ind w:firstLine="667"/>
        <w:jc w:val="left"/>
        <w:rPr>
          <w:rFonts w:hint="eastAsia" w:ascii="宋体" w:hAnsi="宋体" w:eastAsia="宋体" w:cs="宋体"/>
          <w:sz w:val="30"/>
          <w:szCs w:val="30"/>
        </w:rPr>
      </w:pPr>
      <w:r>
        <w:rPr>
          <w:rFonts w:hint="eastAsia" w:ascii="宋体" w:hAnsi="宋体" w:eastAsia="宋体" w:cs="宋体"/>
          <w:sz w:val="30"/>
          <w:szCs w:val="30"/>
        </w:rPr>
        <w:t>本单位内设</w:t>
      </w:r>
      <w:r>
        <w:rPr>
          <w:rFonts w:hint="eastAsia" w:ascii="宋体" w:hAnsi="宋体" w:eastAsia="宋体" w:cs="宋体"/>
          <w:sz w:val="30"/>
          <w:szCs w:val="30"/>
          <w:lang w:val="en-US" w:eastAsia="zh-CN"/>
        </w:rPr>
        <w:t>5</w:t>
      </w:r>
      <w:r>
        <w:rPr>
          <w:rFonts w:hint="eastAsia" w:ascii="宋体" w:hAnsi="宋体" w:eastAsia="宋体" w:cs="宋体"/>
          <w:sz w:val="30"/>
          <w:szCs w:val="30"/>
        </w:rPr>
        <w:t>个科室</w:t>
      </w:r>
      <w:r>
        <w:rPr>
          <w:rFonts w:hint="eastAsia" w:ascii="宋体" w:hAnsi="宋体" w:eastAsia="宋体" w:cs="宋体"/>
          <w:sz w:val="30"/>
          <w:szCs w:val="30"/>
          <w:lang w:eastAsia="zh-CN"/>
        </w:rPr>
        <w:t>，</w:t>
      </w:r>
      <w:r>
        <w:rPr>
          <w:rFonts w:hint="eastAsia" w:ascii="宋体" w:hAnsi="宋体" w:eastAsia="宋体" w:cs="宋体"/>
          <w:sz w:val="30"/>
          <w:szCs w:val="30"/>
        </w:rPr>
        <w:t>从预算单位构成看，</w:t>
      </w:r>
      <w:r>
        <w:rPr>
          <w:rFonts w:hint="eastAsia" w:ascii="宋体" w:hAnsi="宋体" w:eastAsia="宋体" w:cs="宋体"/>
          <w:sz w:val="30"/>
          <w:szCs w:val="30"/>
          <w:lang w:val="en-US" w:eastAsia="zh-CN"/>
        </w:rPr>
        <w:t>我</w:t>
      </w:r>
      <w:r>
        <w:rPr>
          <w:rFonts w:hint="eastAsia" w:ascii="宋体" w:hAnsi="宋体" w:eastAsia="宋体" w:cs="宋体"/>
          <w:sz w:val="30"/>
          <w:szCs w:val="30"/>
        </w:rPr>
        <w:t>单位部门决算包括：本级决算</w:t>
      </w:r>
      <w:r>
        <w:rPr>
          <w:rFonts w:hint="eastAsia" w:ascii="宋体" w:hAnsi="宋体" w:eastAsia="宋体" w:cs="宋体"/>
          <w:sz w:val="30"/>
          <w:szCs w:val="30"/>
          <w:lang w:eastAsia="zh-CN"/>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1"/>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974.3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974.3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4283.42</w:t>
      </w:r>
      <w:r>
        <w:rPr>
          <w:rFonts w:hint="eastAsia" w:ascii="宋体" w:hAnsi="宋体" w:eastAsia="仿宋_GB2312" w:cs="Times New Roman"/>
          <w:sz w:val="32"/>
          <w:szCs w:val="32"/>
        </w:rPr>
        <w:t>万元，支出总计减少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4283.42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高标准农田建设项目支出减少。</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261.23</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713.07</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974.3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ascii="仿宋" w:hAnsi="仿宋" w:eastAsia="仿宋" w:cs="仿宋"/>
          <w:spacing w:val="-34"/>
          <w:sz w:val="32"/>
          <w:szCs w:val="32"/>
        </w:rPr>
        <w:t xml:space="preserve"> </w:t>
      </w:r>
      <w:r>
        <w:rPr>
          <w:rFonts w:hint="eastAsia" w:ascii="仿宋" w:hAnsi="仿宋" w:eastAsia="仿宋" w:cs="仿宋"/>
          <w:spacing w:val="2"/>
          <w:sz w:val="32"/>
          <w:szCs w:val="32"/>
          <w:lang w:val="en-US" w:eastAsia="zh-CN"/>
        </w:rPr>
        <w:t>4283.42</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81.5</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高标准农田建设项目支出减少。</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年度财政拨款支出</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仿宋" w:hAnsi="仿宋" w:eastAsia="仿宋" w:cs="仿宋"/>
          <w:spacing w:val="-34"/>
          <w:sz w:val="32"/>
          <w:szCs w:val="32"/>
          <w:lang w:val="en-US" w:eastAsia="zh-CN"/>
        </w:rPr>
        <w:t>4283.42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高标准农田建设项目支出减少</w:t>
      </w:r>
      <w:r>
        <w:rPr>
          <w:rFonts w:hint="eastAsia" w:ascii="宋体" w:hAnsi="宋体" w:eastAsia="仿宋_GB2312" w:cs="Times New Roman"/>
          <w:sz w:val="32"/>
          <w:szCs w:val="32"/>
        </w:rPr>
        <w:t xml:space="preserve"> </w:t>
      </w:r>
      <w:r>
        <w:rPr>
          <w:rFonts w:hint="eastAsia" w:ascii="宋体" w:hAnsi="宋体" w:eastAsia="仿宋_GB2312" w:cs="Times New Roman"/>
          <w:sz w:val="32"/>
          <w:szCs w:val="32"/>
          <w:lang w:val="en-US" w:eastAsia="zh-CN"/>
        </w:rPr>
        <w:t>.</w:t>
      </w:r>
    </w:p>
    <w:p>
      <w:pPr>
        <w:numPr>
          <w:ilvl w:val="0"/>
          <w:numId w:val="2"/>
        </w:numPr>
        <w:rPr>
          <w:rFonts w:hint="eastAsia" w:ascii="宋体" w:hAnsi="宋体" w:eastAsia="仿宋_GB2312" w:cs="Times New Roman"/>
          <w:sz w:val="32"/>
          <w:szCs w:val="32"/>
        </w:rPr>
      </w:pPr>
      <w:r>
        <w:rPr>
          <w:rFonts w:hint="eastAsia" w:ascii="宋体" w:hAnsi="宋体" w:eastAsia="仿宋_GB2312" w:cs="Times New Roman"/>
          <w:sz w:val="32"/>
          <w:szCs w:val="32"/>
        </w:rPr>
        <w:t>财政拨款支出决算结构情况</w:t>
      </w:r>
      <w:bookmarkStart w:id="14" w:name="_Toc1066_WPSOffice_Level2"/>
      <w:bookmarkStart w:id="15" w:name="_Toc27424_WPSOffice_Level2"/>
    </w:p>
    <w:p>
      <w:pPr>
        <w:numPr>
          <w:ilvl w:val="0"/>
          <w:numId w:val="0"/>
        </w:numPr>
        <w:ind w:firstLine="320" w:firstLineChars="100"/>
        <w:rPr>
          <w:rFonts w:hint="default" w:ascii="仿宋" w:hAnsi="仿宋" w:eastAsia="仿宋_GB2312" w:cs="仿宋"/>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年度财政拨款支出</w:t>
      </w:r>
      <w:r>
        <w:rPr>
          <w:rFonts w:hint="eastAsia" w:ascii="宋体" w:hAnsi="宋体" w:eastAsia="仿宋_GB2312" w:cs="Times New Roman"/>
          <w:sz w:val="32"/>
          <w:szCs w:val="32"/>
          <w:lang w:val="en-US" w:eastAsia="zh-CN"/>
        </w:rPr>
        <w:t>974.3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lang w:val="en-US" w:eastAsia="zh-CN"/>
        </w:rPr>
        <w:t>2130104事业支出277.53万元，占比28.49%；2130153农田建设支出696.77万元，占比71.51%。</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974.3</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974.3</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261.23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255.52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249.82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5.7</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5.71</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5.71</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default" w:ascii="宋体" w:hAnsi="宋体" w:eastAsia="仿宋_GB2312" w:cs="Times New Roman"/>
          <w:sz w:val="32"/>
          <w:szCs w:val="32"/>
          <w:lang w:val="en-US" w:eastAsia="zh-CN"/>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val="en-US" w:eastAsia="zh-CN"/>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Times New Roman"/>
          <w:sz w:val="32"/>
          <w:szCs w:val="32"/>
        </w:rPr>
      </w:pPr>
      <w:r>
        <w:rPr>
          <w:rFonts w:ascii="宋体" w:hAnsi="宋体" w:eastAsia="Times New Roman"/>
          <w:sz w:val="32"/>
          <w:szCs w:val="32"/>
        </w:rPr>
        <w:t>202</w:t>
      </w:r>
      <w:r>
        <w:rPr>
          <w:rFonts w:hint="eastAsia" w:ascii="宋体" w:hAnsi="宋体" w:eastAsia="宋体"/>
          <w:sz w:val="32"/>
          <w:szCs w:val="32"/>
          <w:lang w:val="en-US" w:eastAsia="zh-CN"/>
        </w:rPr>
        <w:t>1</w:t>
      </w:r>
      <w:r>
        <w:rPr>
          <w:rFonts w:ascii="宋体" w:hAnsi="宋体" w:eastAsia="Times New Roman"/>
          <w:sz w:val="32"/>
          <w:szCs w:val="32"/>
        </w:rPr>
        <w:t>年政府性基金预算财政拨款本年收入</w:t>
      </w:r>
      <w:r>
        <w:rPr>
          <w:rFonts w:hint="eastAsia" w:ascii="宋体" w:hAnsi="宋体"/>
          <w:sz w:val="32"/>
          <w:szCs w:val="32"/>
        </w:rPr>
        <w:t>0</w:t>
      </w:r>
      <w:r>
        <w:rPr>
          <w:rFonts w:ascii="宋体" w:hAnsi="宋体" w:eastAsia="Times New Roman"/>
          <w:sz w:val="32"/>
          <w:szCs w:val="32"/>
        </w:rPr>
        <w:t>万元，本年支出</w:t>
      </w:r>
      <w:r>
        <w:rPr>
          <w:rFonts w:hint="eastAsia" w:ascii="宋体" w:hAnsi="宋体"/>
          <w:sz w:val="32"/>
          <w:szCs w:val="32"/>
        </w:rPr>
        <w:t>0</w:t>
      </w:r>
      <w:r>
        <w:rPr>
          <w:rFonts w:ascii="宋体" w:hAnsi="宋体" w:eastAsia="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我单位单位无机关运行经费。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1.5</w:t>
      </w:r>
      <w:r>
        <w:rPr>
          <w:rFonts w:hint="eastAsia" w:ascii="宋体" w:hAnsi="宋体" w:eastAsia="仿宋_GB2312" w:cs="Times New Roman"/>
          <w:sz w:val="32"/>
          <w:szCs w:val="32"/>
        </w:rPr>
        <w:t>万元，其中：政府采购</w:t>
      </w:r>
      <w:r>
        <w:rPr>
          <w:rFonts w:hint="eastAsia" w:ascii="宋体" w:hAnsi="宋体" w:eastAsia="仿宋_GB2312" w:cs="Times New Roman"/>
          <w:sz w:val="32"/>
          <w:szCs w:val="32"/>
          <w:lang w:val="en-US" w:eastAsia="zh-CN"/>
        </w:rPr>
        <w:t>货</w:t>
      </w:r>
      <w:r>
        <w:rPr>
          <w:rFonts w:hint="eastAsia" w:ascii="宋体" w:hAnsi="宋体" w:eastAsia="仿宋_GB2312" w:cs="Times New Roman"/>
          <w:sz w:val="32"/>
          <w:szCs w:val="32"/>
        </w:rPr>
        <w:t>物</w:t>
      </w:r>
      <w:r>
        <w:rPr>
          <w:rFonts w:hint="eastAsia" w:ascii="宋体" w:hAnsi="宋体" w:eastAsia="仿宋_GB2312" w:cs="Times New Roman"/>
          <w:sz w:val="32"/>
          <w:szCs w:val="32"/>
          <w:lang w:val="en-US" w:eastAsia="zh-CN"/>
        </w:rPr>
        <w:t>1.5万元。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r>
        <w:rPr>
          <w:rFonts w:hint="eastAsia" w:ascii="宋体" w:hAnsi="宋体" w:eastAsia="宋体" w:cs="宋体"/>
          <w:sz w:val="32"/>
          <w:szCs w:val="32"/>
        </w:rPr>
        <w:t>我单位截止202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年底国有资产原值</w:t>
      </w:r>
      <w:r>
        <w:rPr>
          <w:rFonts w:hint="eastAsia" w:ascii="宋体" w:hAnsi="宋体" w:eastAsia="宋体" w:cs="宋体"/>
          <w:sz w:val="32"/>
          <w:szCs w:val="32"/>
          <w:lang w:val="en-US" w:eastAsia="zh-CN"/>
        </w:rPr>
        <w:t>25.4</w:t>
      </w:r>
      <w:r>
        <w:rPr>
          <w:rFonts w:hint="eastAsia" w:ascii="宋体" w:hAnsi="宋体" w:eastAsia="宋体" w:cs="宋体"/>
          <w:sz w:val="32"/>
          <w:szCs w:val="32"/>
        </w:rPr>
        <w:t>万元，净值</w:t>
      </w:r>
      <w:r>
        <w:rPr>
          <w:rFonts w:hint="eastAsia" w:ascii="宋体" w:hAnsi="宋体" w:eastAsia="宋体" w:cs="宋体"/>
          <w:sz w:val="32"/>
          <w:szCs w:val="32"/>
          <w:lang w:val="en-US" w:eastAsia="zh-CN"/>
        </w:rPr>
        <w:t>4.2</w:t>
      </w:r>
      <w:r>
        <w:rPr>
          <w:rFonts w:hint="eastAsia" w:ascii="宋体" w:hAnsi="宋体" w:eastAsia="宋体" w:cs="宋体"/>
          <w:sz w:val="32"/>
          <w:szCs w:val="32"/>
        </w:rPr>
        <w:t>万元。</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numPr>
          <w:numId w:val="0"/>
        </w:numPr>
        <w:rPr>
          <w:rFonts w:hint="eastAsia" w:ascii="宋体" w:hAnsi="宋体"/>
          <w:sz w:val="32"/>
          <w:szCs w:val="32"/>
        </w:rPr>
      </w:pP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项目绩效评价工作开展情况，包括项目绩效目标、支出绩效评价等情况。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00" w:firstLineChars="200"/>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02</w:t>
      </w:r>
      <w:r>
        <w:rPr>
          <w:rFonts w:hint="eastAsia" w:ascii="宋体" w:hAnsi="宋体" w:eastAsia="宋体" w:cs="宋体"/>
          <w:sz w:val="30"/>
          <w:szCs w:val="30"/>
          <w:lang w:val="en-US" w:eastAsia="zh-CN"/>
        </w:rPr>
        <w:t>1</w:t>
      </w:r>
      <w:r>
        <w:rPr>
          <w:rFonts w:hint="eastAsia" w:ascii="宋体" w:hAnsi="宋体" w:eastAsia="宋体" w:cs="宋体"/>
          <w:sz w:val="30"/>
          <w:szCs w:val="30"/>
        </w:rPr>
        <w:t>年度我单位由专人负责对项目和资金实行绩效管理，单位实行绩效目标管理的项目1个，项目总体目标建设高标准农田建设项目</w:t>
      </w:r>
      <w:r>
        <w:rPr>
          <w:rFonts w:hint="eastAsia" w:ascii="宋体" w:hAnsi="宋体" w:eastAsia="宋体" w:cs="宋体"/>
          <w:sz w:val="30"/>
          <w:szCs w:val="30"/>
          <w:lang w:val="en-US" w:eastAsia="zh-CN"/>
        </w:rPr>
        <w:t>3.5</w:t>
      </w:r>
      <w:r>
        <w:rPr>
          <w:rFonts w:hint="eastAsia" w:ascii="宋体" w:hAnsi="宋体" w:eastAsia="宋体" w:cs="宋体"/>
          <w:sz w:val="30"/>
          <w:szCs w:val="30"/>
        </w:rPr>
        <w:t>万亩，其中高效灌溉面积</w:t>
      </w:r>
      <w:r>
        <w:rPr>
          <w:rFonts w:hint="eastAsia" w:ascii="宋体" w:hAnsi="宋体" w:eastAsia="宋体" w:cs="宋体"/>
          <w:sz w:val="30"/>
          <w:szCs w:val="30"/>
          <w:lang w:val="en-US" w:eastAsia="zh-CN"/>
        </w:rPr>
        <w:t>1.72</w:t>
      </w:r>
      <w:r>
        <w:rPr>
          <w:rFonts w:hint="eastAsia" w:ascii="宋体" w:hAnsi="宋体" w:eastAsia="宋体" w:cs="宋体"/>
          <w:sz w:val="30"/>
          <w:szCs w:val="30"/>
        </w:rPr>
        <w:t>万亩，涉及一般公共预算当年拨款</w:t>
      </w:r>
      <w:r>
        <w:rPr>
          <w:rFonts w:hint="eastAsia" w:ascii="宋体" w:hAnsi="宋体" w:eastAsia="宋体" w:cs="宋体"/>
          <w:sz w:val="30"/>
          <w:szCs w:val="30"/>
          <w:lang w:val="en-US" w:eastAsia="zh-CN"/>
        </w:rPr>
        <w:t>696.77</w:t>
      </w:r>
      <w:r>
        <w:rPr>
          <w:rFonts w:hint="eastAsia" w:ascii="宋体" w:hAnsi="宋体" w:eastAsia="宋体" w:cs="宋体"/>
          <w:sz w:val="30"/>
          <w:szCs w:val="30"/>
        </w:rPr>
        <w:t>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hint="eastAsia" w:ascii="宋体" w:hAnsi="宋体" w:eastAsia="宋体" w:cs="宋体"/>
          <w:color w:val="000000"/>
          <w:kern w:val="0"/>
          <w:sz w:val="30"/>
          <w:szCs w:val="30"/>
        </w:rPr>
      </w:pPr>
      <w:r>
        <w:rPr>
          <w:rFonts w:hint="eastAsia" w:ascii="宋体" w:hAnsi="宋体" w:eastAsia="宋体" w:cs="宋体"/>
          <w:sz w:val="30"/>
          <w:szCs w:val="30"/>
        </w:rPr>
        <w:t>通过绩效评价，项目的完成及时性、项目的合格率、服务对象满意度都得到很大的提高。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CDBB3"/>
    <w:multiLevelType w:val="singleLevel"/>
    <w:tmpl w:val="D42CDBB3"/>
    <w:lvl w:ilvl="0" w:tentative="0">
      <w:start w:val="2"/>
      <w:numFmt w:val="decimal"/>
      <w:lvlText w:val="%1."/>
      <w:lvlJc w:val="left"/>
      <w:pPr>
        <w:tabs>
          <w:tab w:val="left" w:pos="312"/>
        </w:tabs>
      </w:pPr>
    </w:lvl>
  </w:abstractNum>
  <w:abstractNum w:abstractNumId="1">
    <w:nsid w:val="0CAE0828"/>
    <w:multiLevelType w:val="singleLevel"/>
    <w:tmpl w:val="0CAE0828"/>
    <w:lvl w:ilvl="0" w:tentative="0">
      <w:start w:val="8"/>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4ED3C17"/>
    <w:rsid w:val="0D8A0239"/>
    <w:rsid w:val="0E115DFD"/>
    <w:rsid w:val="10AA6BD6"/>
    <w:rsid w:val="11D27EAE"/>
    <w:rsid w:val="16E11394"/>
    <w:rsid w:val="20D97C1B"/>
    <w:rsid w:val="23553F43"/>
    <w:rsid w:val="25C54E12"/>
    <w:rsid w:val="281947FC"/>
    <w:rsid w:val="287F2C5C"/>
    <w:rsid w:val="29595C64"/>
    <w:rsid w:val="299664C8"/>
    <w:rsid w:val="31D609C0"/>
    <w:rsid w:val="3DAF67C3"/>
    <w:rsid w:val="3F28132A"/>
    <w:rsid w:val="43F20560"/>
    <w:rsid w:val="49221B6F"/>
    <w:rsid w:val="54125D68"/>
    <w:rsid w:val="5F1D10FA"/>
    <w:rsid w:val="6544153D"/>
    <w:rsid w:val="68CD37BD"/>
    <w:rsid w:val="6B902B45"/>
    <w:rsid w:val="6C940C35"/>
    <w:rsid w:val="6EF103FF"/>
    <w:rsid w:val="7003668D"/>
    <w:rsid w:val="72260D32"/>
    <w:rsid w:val="73585A91"/>
    <w:rsid w:val="76FC20EE"/>
    <w:rsid w:val="7B00223C"/>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39</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2022-09-13T01:56:47Z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2D86EAF23A95443D81D8CB29DB991C87</vt:lpwstr>
  </property>
</Properties>
</file>