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FFFF" w:themeColor="background1"/>
          <w:sz w:val="48"/>
          <w:szCs w:val="48"/>
          <w14:textFill>
            <w14:solidFill>
              <w14:schemeClr w14:val="bg1"/>
            </w14:solidFill>
          </w14:textFill>
        </w:rPr>
      </w:pPr>
    </w:p>
    <w:p>
      <w:pPr>
        <w:jc w:val="cente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朔州市朔城区乡村振兴局</w:t>
      </w:r>
    </w:p>
    <w:p>
      <w:pPr>
        <w:jc w:val="center"/>
        <w:rPr>
          <w:rFonts w:hint="eastAsia" w:ascii="黑体" w:eastAsia="黑体"/>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1</w:t>
      </w:r>
      <w:r>
        <w:rPr>
          <w:rFonts w:hint="eastAsia" w:ascii="黑体" w:eastAsia="黑体"/>
          <w:b/>
          <w:bCs/>
          <w:sz w:val="44"/>
          <w:szCs w:val="44"/>
        </w:rPr>
        <w:t>年部门决算公开</w:t>
      </w:r>
    </w:p>
    <w:p>
      <w:pPr>
        <w:jc w:val="center"/>
        <w:rPr>
          <w:rFonts w:ascii="黑体" w:eastAsia="黑体"/>
          <w:b/>
          <w:bCs/>
          <w:sz w:val="44"/>
          <w:szCs w:val="44"/>
        </w:rPr>
      </w:pPr>
      <w:r>
        <w:rPr>
          <w:rFonts w:hint="eastAsia" w:ascii="黑体" w:eastAsia="黑体"/>
          <w:b/>
          <w:bCs/>
          <w:sz w:val="44"/>
          <w:szCs w:val="44"/>
        </w:rPr>
        <w:t>情况说明</w:t>
      </w:r>
    </w:p>
    <w:p>
      <w:pPr>
        <w:spacing w:line="360" w:lineRule="auto"/>
        <w:jc w:val="center"/>
        <w:rPr>
          <w:rFonts w:ascii="宋体" w:hAnsi="宋体" w:cs="宋体"/>
          <w:sz w:val="44"/>
          <w:szCs w:val="44"/>
        </w:rPr>
      </w:pPr>
      <w:bookmarkStart w:id="0" w:name="_Toc8044_WPSOffice_Level1"/>
      <w:bookmarkStart w:id="1" w:name="_Toc4691_WPSOffice_Level1"/>
    </w:p>
    <w:p>
      <w:pPr>
        <w:spacing w:line="360" w:lineRule="auto"/>
        <w:ind w:firstLine="3520" w:firstLineChars="800"/>
        <w:jc w:val="both"/>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黑体" w:hAnsi="黑体" w:eastAsia="黑体" w:cs="黑体"/>
          <w:snapToGrid w:val="0"/>
          <w:color w:val="000000"/>
          <w:spacing w:val="-4"/>
          <w:kern w:val="0"/>
          <w:sz w:val="32"/>
          <w:szCs w:val="32"/>
        </w:rPr>
      </w:pPr>
      <w:r>
        <w:rPr>
          <w:rFonts w:hint="eastAsia" w:ascii="宋体" w:hAnsi="宋体" w:cs="宋体"/>
          <w:b/>
          <w:sz w:val="30"/>
          <w:szCs w:val="30"/>
          <w:lang w:val="en-US" w:eastAsia="zh-CN"/>
        </w:rPr>
        <w:t xml:space="preserve">                </w:t>
      </w: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主要开展全区脱贫人口防返贫监测工作，同时负责全区人居环境改造及拓展产业促进全区乡村振兴。</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建立健全防返贫监测帮扶机制，稳定脱贫户持续增收。</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highlight w:val="none"/>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highlight w:val="none"/>
          <w:lang w:eastAsia="zh-CN"/>
        </w:rPr>
        <w:t>包括本级部门决算</w:t>
      </w:r>
      <w:r>
        <w:rPr>
          <w:rFonts w:hint="eastAsia" w:ascii="宋体" w:hAnsi="宋体" w:eastAsia="仿宋_GB2312" w:cs="Times New Roman"/>
          <w:sz w:val="32"/>
          <w:szCs w:val="32"/>
          <w:highlight w:val="none"/>
        </w:rPr>
        <w:t>。</w:t>
      </w:r>
    </w:p>
    <w:p>
      <w:pPr>
        <w:ind w:firstLine="1872" w:firstLineChars="6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highlight w:val="none"/>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年度收入总 计</w:t>
      </w:r>
      <w:r>
        <w:rPr>
          <w:rFonts w:hint="eastAsia" w:ascii="宋体" w:hAnsi="宋体" w:eastAsia="仿宋_GB2312" w:cs="Times New Roman"/>
          <w:sz w:val="32"/>
          <w:szCs w:val="32"/>
          <w:lang w:val="en-US" w:eastAsia="zh-CN"/>
        </w:rPr>
        <w:t>3070.92</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支 出 总 计</w:t>
      </w:r>
      <w:r>
        <w:rPr>
          <w:rFonts w:hint="eastAsia" w:ascii="宋体" w:hAnsi="宋体" w:eastAsia="仿宋_GB2312" w:cs="Times New Roman"/>
          <w:sz w:val="32"/>
          <w:szCs w:val="32"/>
          <w:lang w:val="en-US" w:eastAsia="zh-CN"/>
        </w:rPr>
        <w:t>3070.92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w:t>
      </w:r>
      <w:r>
        <w:rPr>
          <w:rFonts w:hint="eastAsia" w:ascii="宋体" w:hAnsi="宋体" w:eastAsia="仿宋_GB2312" w:cs="Times New Roman"/>
          <w:sz w:val="32"/>
          <w:szCs w:val="32"/>
          <w:highlight w:val="none"/>
          <w:lang w:eastAsia="zh-CN"/>
        </w:rPr>
        <w:t>因未独立做决算，数据无法与上年对比</w:t>
      </w:r>
      <w:r>
        <w:rPr>
          <w:rFonts w:hint="eastAsia" w:ascii="宋体" w:hAnsi="宋体" w:eastAsia="仿宋_GB2312" w:cs="Times New Roman"/>
          <w:sz w:val="32"/>
          <w:szCs w:val="32"/>
          <w:highlight w:val="none"/>
          <w:lang w:val="en-US"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3070.92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3070.92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3070.92</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43.15</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3027.77</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highlight w:val="none"/>
          <w:lang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3070.92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3070.92</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lang w:eastAsia="zh-CN"/>
        </w:rPr>
        <w:t>因</w:t>
      </w:r>
      <w:r>
        <w:rPr>
          <w:rFonts w:hint="eastAsia" w:ascii="宋体" w:hAnsi="宋体" w:eastAsia="仿宋_GB2312" w:cs="Times New Roman"/>
          <w:sz w:val="32"/>
          <w:szCs w:val="32"/>
          <w:highlight w:val="none"/>
          <w:lang w:val="en-US" w:eastAsia="zh-CN"/>
        </w:rPr>
        <w:t>2020年</w:t>
      </w:r>
      <w:r>
        <w:rPr>
          <w:rFonts w:hint="eastAsia" w:ascii="宋体" w:hAnsi="宋体" w:eastAsia="仿宋_GB2312" w:cs="Times New Roman"/>
          <w:sz w:val="32"/>
          <w:szCs w:val="32"/>
          <w:highlight w:val="none"/>
          <w:lang w:eastAsia="zh-CN"/>
        </w:rPr>
        <w:t>没有独立做决算，数据无法与上年对比</w:t>
      </w:r>
      <w:r>
        <w:rPr>
          <w:rFonts w:hint="eastAsia" w:ascii="宋体" w:hAnsi="宋体" w:eastAsia="仿宋_GB2312" w:cs="Times New Roman"/>
          <w:sz w:val="32"/>
          <w:szCs w:val="32"/>
          <w:highlight w:val="none"/>
          <w:lang w:val="en-US" w:eastAsia="zh-CN"/>
        </w:rPr>
        <w:t>。</w:t>
      </w:r>
    </w:p>
    <w:p>
      <w:pPr>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color w:val="000000" w:themeColor="text1"/>
          <w:sz w:val="32"/>
          <w:szCs w:val="32"/>
          <w:highlight w:val="none"/>
          <w:lang w:eastAsia="zh-CN"/>
          <w14:textFill>
            <w14:solidFill>
              <w14:schemeClr w14:val="tx1"/>
            </w14:solidFill>
          </w14:textFill>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3070.92</w:t>
      </w:r>
      <w:r>
        <w:rPr>
          <w:rFonts w:hint="eastAsia" w:ascii="宋体" w:hAnsi="宋体" w:eastAsia="仿宋_GB2312" w:cs="Times New Roman"/>
          <w:sz w:val="32"/>
          <w:szCs w:val="32"/>
        </w:rPr>
        <w:t>万元，</w:t>
      </w:r>
      <w:r>
        <w:rPr>
          <w:rFonts w:hint="eastAsia" w:ascii="宋体" w:hAnsi="宋体" w:eastAsia="仿宋_GB2312" w:cs="Times New Roman"/>
          <w:color w:val="000000" w:themeColor="text1"/>
          <w:sz w:val="32"/>
          <w:szCs w:val="32"/>
          <w:highlight w:val="none"/>
          <w:lang w:eastAsia="zh-CN"/>
          <w14:textFill>
            <w14:solidFill>
              <w14:schemeClr w14:val="tx1"/>
            </w14:solidFill>
          </w14:textFill>
        </w:rPr>
        <w:t>因</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2020年</w:t>
      </w:r>
      <w:r>
        <w:rPr>
          <w:rFonts w:hint="eastAsia" w:ascii="宋体" w:hAnsi="宋体" w:eastAsia="仿宋_GB2312" w:cs="Times New Roman"/>
          <w:color w:val="000000" w:themeColor="text1"/>
          <w:sz w:val="32"/>
          <w:szCs w:val="32"/>
          <w:highlight w:val="none"/>
          <w:lang w:eastAsia="zh-CN"/>
          <w14:textFill>
            <w14:solidFill>
              <w14:schemeClr w14:val="tx1"/>
            </w14:solidFill>
          </w14:textFill>
        </w:rPr>
        <w:t>没有独立做决算，数据无法与上年对比</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27424_WPSOffice_Level2"/>
      <w:bookmarkStart w:id="15" w:name="_Toc1066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3070.92</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20699科学技术支出98</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3.19</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2130104事业运行9.77</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0.32</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2130501</w:t>
      </w:r>
      <w:r>
        <w:rPr>
          <w:rFonts w:hint="eastAsia" w:ascii="宋体" w:hAnsi="宋体" w:eastAsia="仿宋_GB2312" w:cs="Times New Roman"/>
          <w:sz w:val="32"/>
          <w:szCs w:val="32"/>
          <w:highlight w:val="none"/>
          <w:lang w:eastAsia="zh-CN"/>
        </w:rPr>
        <w:t>行政运行</w:t>
      </w:r>
      <w:r>
        <w:rPr>
          <w:rFonts w:hint="eastAsia" w:ascii="宋体" w:hAnsi="宋体" w:eastAsia="仿宋_GB2312" w:cs="Times New Roman"/>
          <w:sz w:val="32"/>
          <w:szCs w:val="32"/>
          <w:highlight w:val="none"/>
          <w:lang w:val="en-US" w:eastAsia="zh-CN"/>
        </w:rPr>
        <w:t>40万元，占比1.3%，2130503机关运行43.15万元，占比1.4%，2130599其他扶贫支出2861.42万元，占比93.18%，2299999其他支出18.59万元，占比0.61%</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年度一般公共预算财政拨款支出当年调整预算数</w:t>
      </w:r>
      <w:r>
        <w:rPr>
          <w:rFonts w:hint="eastAsia" w:ascii="宋体" w:hAnsi="宋体" w:eastAsia="仿宋_GB2312" w:cs="Times New Roman"/>
          <w:sz w:val="32"/>
          <w:szCs w:val="32"/>
          <w:highlight w:val="none"/>
          <w:lang w:val="en-US" w:eastAsia="zh-CN"/>
        </w:rPr>
        <w:t>3070.92</w:t>
      </w:r>
      <w:r>
        <w:rPr>
          <w:rFonts w:hint="eastAsia" w:ascii="宋体" w:hAnsi="宋体" w:eastAsia="仿宋_GB2312" w:cs="Times New Roman"/>
          <w:sz w:val="32"/>
          <w:szCs w:val="32"/>
          <w:highlight w:val="none"/>
        </w:rPr>
        <w:t>万元，支出决算为</w:t>
      </w:r>
      <w:r>
        <w:rPr>
          <w:rFonts w:hint="eastAsia" w:ascii="仿宋" w:hAnsi="仿宋" w:eastAsia="仿宋" w:cs="仿宋"/>
          <w:sz w:val="32"/>
          <w:szCs w:val="32"/>
          <w:highlight w:val="none"/>
          <w:lang w:val="en-US" w:eastAsia="zh-CN"/>
        </w:rPr>
        <w:t>3070.92</w:t>
      </w:r>
      <w:r>
        <w:rPr>
          <w:rFonts w:hint="eastAsia" w:ascii="宋体" w:hAnsi="宋体" w:eastAsia="仿宋_GB2312" w:cs="Times New Roman"/>
          <w:sz w:val="32"/>
          <w:szCs w:val="32"/>
          <w:highlight w:val="none"/>
        </w:rPr>
        <w:t>万元，完成当年调整预算的</w:t>
      </w:r>
      <w:r>
        <w:rPr>
          <w:rFonts w:hint="eastAsia" w:ascii="宋体" w:hAnsi="宋体" w:eastAsia="仿宋_GB2312" w:cs="Times New Roman"/>
          <w:sz w:val="32"/>
          <w:szCs w:val="32"/>
          <w:highlight w:val="none"/>
          <w:lang w:val="en-US" w:eastAsia="zh-CN"/>
        </w:rPr>
        <w:t>100</w:t>
      </w:r>
      <w:r>
        <w:rPr>
          <w:rFonts w:hint="eastAsia" w:ascii="宋体" w:hAnsi="宋体" w:eastAsia="仿宋_GB2312" w:cs="Times New Roman"/>
          <w:sz w:val="32"/>
          <w:szCs w:val="32"/>
          <w:highlight w:val="none"/>
        </w:rPr>
        <w:t>%。</w:t>
      </w:r>
    </w:p>
    <w:p>
      <w:pPr>
        <w:numPr>
          <w:ilvl w:val="0"/>
          <w:numId w:val="3"/>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一般公共预算财政拨款基本支出决算情况说明</w:t>
      </w:r>
      <w:bookmarkEnd w:id="14"/>
      <w:bookmarkEnd w:id="15"/>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43.15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41.65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41.65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bookmarkStart w:id="16" w:name="_Toc28951_WPSOffice_Level2"/>
      <w:bookmarkStart w:id="17" w:name="_Toc21993_WPSOffice_Level2"/>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lang w:val="en-US"/>
        </w:rPr>
      </w:pPr>
      <w:bookmarkStart w:id="18" w:name="_Toc10214_WPSOffice_Level2"/>
      <w:bookmarkStart w:id="19" w:name="_Toc9131_WPSOffice_Level2"/>
      <w:r>
        <w:rPr>
          <w:rFonts w:hint="eastAsia" w:ascii="宋体" w:hAnsi="宋体" w:eastAsia="仿宋_GB2312" w:cs="Times New Roman"/>
          <w:sz w:val="32"/>
          <w:szCs w:val="32"/>
          <w:lang w:val="en-US" w:eastAsia="zh-CN"/>
        </w:rPr>
        <w:t>2021年我单位无三公经费支出。</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政府性基金支出。</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autoSpaceDN w:val="0"/>
        <w:spacing w:line="570" w:lineRule="exact"/>
        <w:ind w:firstLine="600" w:firstLineChars="200"/>
        <w:textAlignment w:val="center"/>
        <w:rPr>
          <w:rFonts w:hint="eastAsia" w:ascii="仿宋_GB2312" w:hAnsi="宋体" w:eastAsia="仿宋_GB2312"/>
          <w:bCs/>
          <w:color w:val="auto"/>
          <w:sz w:val="32"/>
          <w:szCs w:val="32"/>
          <w:highlight w:val="none"/>
        </w:rPr>
      </w:pPr>
      <w:r>
        <w:rPr>
          <w:rFonts w:hint="eastAsia" w:ascii="仿宋" w:hAnsi="仿宋" w:eastAsia="仿宋" w:cs="仿宋"/>
          <w:bCs/>
          <w:color w:val="auto"/>
          <w:sz w:val="30"/>
          <w:szCs w:val="30"/>
          <w:highlight w:val="none"/>
          <w:lang w:val="en-US" w:eastAsia="zh-CN"/>
        </w:rPr>
        <w:t>2022年我单位为事业单位，无</w:t>
      </w:r>
      <w:r>
        <w:rPr>
          <w:rFonts w:hint="eastAsia" w:ascii="仿宋" w:hAnsi="仿宋" w:eastAsia="仿宋" w:cs="仿宋"/>
          <w:bCs/>
          <w:color w:val="auto"/>
          <w:sz w:val="30"/>
          <w:szCs w:val="30"/>
          <w:highlight w:val="none"/>
        </w:rPr>
        <w:t>机关运行经费</w:t>
      </w:r>
      <w:r>
        <w:rPr>
          <w:rFonts w:hint="eastAsia" w:ascii="仿宋_GB2312" w:hAnsi="宋体" w:eastAsia="仿宋_GB2312"/>
          <w:bCs/>
          <w:color w:val="auto"/>
          <w:sz w:val="32"/>
          <w:szCs w:val="32"/>
          <w:highlight w:val="none"/>
        </w:rPr>
        <w:t>。</w:t>
      </w:r>
    </w:p>
    <w:p>
      <w:pPr>
        <w:numPr>
          <w:ilvl w:val="0"/>
          <w:numId w:val="5"/>
        </w:numPr>
        <w:spacing w:line="204" w:lineRule="auto"/>
        <w:jc w:val="left"/>
        <w:rPr>
          <w:rFonts w:hint="eastAsia" w:ascii="楷体" w:hAnsi="楷体" w:eastAsia="楷体" w:cs="楷体"/>
          <w:spacing w:val="-3"/>
          <w:sz w:val="32"/>
          <w:szCs w:val="32"/>
          <w:highlight w:val="none"/>
        </w:rPr>
      </w:pPr>
      <w:r>
        <w:rPr>
          <w:rFonts w:hint="eastAsia" w:ascii="楷体" w:hAnsi="楷体" w:eastAsia="楷体" w:cs="楷体"/>
          <w:spacing w:val="-3"/>
          <w:sz w:val="32"/>
          <w:szCs w:val="32"/>
          <w:highlight w:val="none"/>
        </w:rPr>
        <w:t>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0"/>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lang w:val="en-US" w:eastAsia="zh-CN"/>
        </w:rPr>
        <w:t>3、</w:t>
      </w:r>
      <w:r>
        <w:rPr>
          <w:rFonts w:hint="eastAsia" w:ascii="楷体" w:hAnsi="楷体" w:eastAsia="楷体" w:cs="楷体"/>
          <w:spacing w:val="-3"/>
          <w:sz w:val="32"/>
          <w:szCs w:val="32"/>
        </w:rPr>
        <w:t>国有资产占有情</w:t>
      </w:r>
      <w:bookmarkStart w:id="22" w:name="_GoBack"/>
      <w:bookmarkEnd w:id="22"/>
      <w:r>
        <w:rPr>
          <w:rFonts w:hint="eastAsia" w:ascii="楷体" w:hAnsi="楷体" w:eastAsia="楷体" w:cs="楷体"/>
          <w:spacing w:val="-3"/>
          <w:sz w:val="32"/>
          <w:szCs w:val="32"/>
        </w:rPr>
        <w:t>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6"/>
        </w:num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绩效管理情况</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(1)项目绩效评价工作开展情况，包括项目绩效目标、支出绩效评价等情况。</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应包括</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年度单位实行绩效目标管理的项目</w:t>
      </w:r>
      <w:r>
        <w:rPr>
          <w:rFonts w:hint="eastAsia" w:ascii="宋体" w:hAnsi="宋体" w:eastAsia="仿宋_GB2312" w:cs="Times New Roman"/>
          <w:sz w:val="32"/>
          <w:szCs w:val="32"/>
          <w:highlight w:val="none"/>
          <w:lang w:val="en-US" w:eastAsia="zh-CN"/>
        </w:rPr>
        <w:t>36</w:t>
      </w:r>
      <w:r>
        <w:rPr>
          <w:rFonts w:hint="eastAsia" w:ascii="宋体" w:hAnsi="宋体" w:eastAsia="仿宋_GB2312" w:cs="Times New Roman"/>
          <w:sz w:val="32"/>
          <w:szCs w:val="32"/>
          <w:highlight w:val="none"/>
        </w:rPr>
        <w:t>个，</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涉及一般公共预算当年拨款</w:t>
      </w:r>
      <w:r>
        <w:rPr>
          <w:rFonts w:hint="eastAsia" w:ascii="宋体" w:hAnsi="宋体" w:eastAsia="仿宋_GB2312" w:cs="Times New Roman"/>
          <w:sz w:val="32"/>
          <w:szCs w:val="32"/>
          <w:highlight w:val="none"/>
          <w:lang w:val="en-US" w:eastAsia="zh-CN"/>
        </w:rPr>
        <w:t>2974.988</w:t>
      </w:r>
      <w:r>
        <w:rPr>
          <w:rFonts w:hint="eastAsia" w:ascii="宋体" w:hAnsi="宋体" w:eastAsia="仿宋_GB2312" w:cs="Times New Roman"/>
          <w:sz w:val="32"/>
          <w:szCs w:val="32"/>
          <w:highlight w:val="none"/>
        </w:rPr>
        <w:t>万元。</w:t>
      </w:r>
    </w:p>
    <w:p>
      <w:pPr>
        <w:numPr>
          <w:ilvl w:val="0"/>
          <w:numId w:val="0"/>
        </w:numPr>
        <w:rPr>
          <w:rFonts w:hint="eastAsia"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绩效评价工作取得的成效。</w:t>
      </w:r>
    </w:p>
    <w:p>
      <w:pPr>
        <w:topLinePunct/>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重点用于扶贫产业发展、促进贫困劳动力稳岗就业、易地扶贫搬迁后续扶持、改善农村小型基础设施建设等方面，且用于产业发展的资金不少于50%。</w:t>
      </w:r>
    </w:p>
    <w:p>
      <w:pPr>
        <w:topLinePunct/>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扶贫产业发展。围绕“特”“优”战略和农产品精深加工十大产业集群，聚焦巩固拓展脱贫攻坚成果和乡村振兴有效衔接，推进一产高质量发展，实施产业提升项目和推进优选种养基地建设（杂粮、中药材、水果、蔬菜、食用菌、干果、马铃薯、黄花、牛羊、生猪、花卉等），补齐基地建设、龙头企业培育、冷链物流等方面短板弱项；培育特色产品品牌，促进区域公用品牌，企业品牌和产品品牌协同发展；加快农村电商发展，培育县级电商主体，建设县乡村三级物流配送网络；以“三个人家”（黄河人家、长城人家、太行人家）为抓手，发展乡村旅游，打造旅游扶贫示范村。</w:t>
      </w:r>
    </w:p>
    <w:p>
      <w:pPr>
        <w:topLinePunct/>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（二）促进贫困劳动力稳岗就业。推进以“人人持证、技能社会”为目标的技能提升工程，开展实用技术培训、岗前培训、职工农民培训等，提高发证率、持证就业率，确保稳就业、促增收。</w:t>
      </w:r>
    </w:p>
    <w:p>
      <w:pPr>
        <w:topLinePunct/>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（三）易地扶贫搬迁后续扶持。主要用于集中安置区内的产业发展、基础设施及就业扶持。</w:t>
      </w:r>
    </w:p>
    <w:p>
      <w:pPr>
        <w:topLinePunct/>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（四）改善农村小型基础设施建设。主要用于改善生产生活条件等基础设施建设，如饮水安全、电路改造、田间道路、村组内道路硬化等，以及用于以村容村貌干净整洁为目标的必要的农村人居环境整治项目。</w:t>
      </w:r>
    </w:p>
    <w:p>
      <w:pPr>
        <w:topLinePunct/>
        <w:spacing w:line="520" w:lineRule="exact"/>
        <w:ind w:firstLine="800" w:firstLineChars="250"/>
        <w:rPr>
          <w:rFonts w:hint="eastAsia" w:ascii="仿宋" w:hAnsi="仿宋" w:eastAsia="仿宋" w:cs="仿宋"/>
          <w:color w:val="000000"/>
          <w:sz w:val="32"/>
          <w:szCs w:val="32"/>
        </w:rPr>
      </w:pPr>
      <w:r>
        <w:rPr>
          <w:rFonts w:hint="eastAsia" w:ascii="仿宋" w:hAnsi="仿宋" w:eastAsia="仿宋" w:cs="仿宋"/>
          <w:color w:val="000000"/>
          <w:sz w:val="32"/>
          <w:szCs w:val="32"/>
        </w:rPr>
        <w:t>2、资金的使用及抽查情况具体如下：</w:t>
      </w:r>
    </w:p>
    <w:p>
      <w:pPr>
        <w:numPr>
          <w:ilvl w:val="0"/>
          <w:numId w:val="0"/>
        </w:numPr>
        <w:topLinePunct/>
        <w:spacing w:line="520" w:lineRule="exact"/>
        <w:ind w:left="560" w:leftChars="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2021年4月28日，支付朔州市朔城区贾庄乡人民政府用于贾庄乡黄水河村小型基础设施建设项目资金30万元。</w:t>
      </w:r>
    </w:p>
    <w:p>
      <w:pPr>
        <w:topLinePunct/>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根据2021年8月28日鑫益瑞建设工程有限公司对《黄水河村桥涵及田间道路工程工程结算审核报告》（鑫益瑞晋字[2021]第106号）审核内容为：①工程名称：黄水河村桥涵及田间道路工程。②主要内容: 1#桥涵工程、2#桥涵工程拆除混凝土路面、挖土方、片石、石墙、混凝土面、塑料膜养护、钢筋、砖砌八字墙、砖墙勾缝等; 3#桥涵工程挖土方、回填土、片石、石墙、混凝:土面、塑料膜养护、钢筋、砖砌八字墙、砖墙勾缝等:田间道路工程场地平整、路面碎石等。③施工地点:朔州市朔城区贾庄乡黄水河村。</w:t>
      </w:r>
    </w:p>
    <w:p>
      <w:pPr>
        <w:topLinePunct/>
        <w:spacing w:line="52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sz w:val="32"/>
          <w:szCs w:val="32"/>
        </w:rPr>
        <w:t>审核结果为：黄水河村桥涵及田间道路工程审定金额为200404.47元。</w:t>
      </w:r>
    </w:p>
    <w:p>
      <w:pPr>
        <w:topLinePunct/>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2021年8月10日山西兴晟达工程项目管理有限公司《关于黄水河村太阳能路灯安装工程结算的审核报告》（兴晟达审字[2021]第（151）号）审核工程概况为：朔城区贾庄乡黄水河村村民委员会委托朔州市博帅工贸有限公司施工的黄水河村太阳能路灯安装工程已按照合同要求完成；工程已按照合同要求竣工，并由相关部门和甲方验收合格。</w:t>
      </w:r>
    </w:p>
    <w:p>
      <w:pPr>
        <w:topLinePunct/>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审核工程结果为：黄水河村太阳能路灯安装工程竣工结算审定金额为99445.36万元。</w:t>
      </w:r>
    </w:p>
    <w:p>
      <w:pPr>
        <w:topLinePunct/>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2022年1月7日，支付朔州市博帅工贸有限责任公司440元</w:t>
      </w:r>
      <w:r>
        <w:rPr>
          <w:rFonts w:hint="eastAsia" w:ascii="仿宋" w:hAnsi="仿宋" w:eastAsia="仿宋" w:cs="仿宋"/>
          <w:sz w:val="32"/>
          <w:szCs w:val="32"/>
          <w:lang w:eastAsia="zh-CN"/>
        </w:rPr>
        <w:t>。</w:t>
      </w:r>
    </w:p>
    <w:p>
      <w:pPr>
        <w:topLinePunct/>
        <w:spacing w:line="520" w:lineRule="exact"/>
        <w:ind w:firstLine="560" w:firstLineChars="200"/>
        <w:rPr>
          <w:rFonts w:hint="eastAsia" w:ascii="宋体" w:hAnsi="宋体" w:cs="仿宋"/>
          <w:sz w:val="28"/>
          <w:szCs w:val="28"/>
        </w:rPr>
      </w:pPr>
      <w:r>
        <w:rPr>
          <w:rFonts w:hint="eastAsia" w:ascii="宋体" w:hAnsi="宋体" w:cs="仿宋"/>
          <w:sz w:val="28"/>
          <w:szCs w:val="28"/>
        </w:rPr>
        <w:t>截止绩效评价日合计支付金额300289.83元，超支部分为自有资金。</w:t>
      </w:r>
    </w:p>
    <w:p>
      <w:pPr>
        <w:topLinePunct/>
        <w:spacing w:line="520" w:lineRule="exact"/>
        <w:ind w:firstLine="628" w:firstLineChars="200"/>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1312" w:firstLineChars="400"/>
        <w:jc w:val="left"/>
        <w:rPr>
          <w:rFonts w:ascii="仿宋" w:hAnsi="仿宋" w:eastAsia="仿宋" w:cs="仿宋"/>
          <w:spacing w:val="4"/>
          <w:sz w:val="32"/>
          <w:szCs w:val="32"/>
        </w:rPr>
      </w:pPr>
      <w:r>
        <w:rPr>
          <w:rFonts w:hint="eastAsia" w:ascii="仿宋" w:hAnsi="仿宋" w:eastAsia="仿宋" w:cs="仿宋"/>
          <w:spacing w:val="4"/>
          <w:sz w:val="32"/>
          <w:szCs w:val="32"/>
        </w:rPr>
        <w:t>无</w:t>
      </w:r>
    </w:p>
    <w:p>
      <w:pPr>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82806"/>
    <w:multiLevelType w:val="singleLevel"/>
    <w:tmpl w:val="E6682806"/>
    <w:lvl w:ilvl="0" w:tentative="0">
      <w:start w:val="6"/>
      <w:numFmt w:val="chineseCounting"/>
      <w:suff w:val="nothing"/>
      <w:lvlText w:val="%1、"/>
      <w:lvlJc w:val="left"/>
      <w:rPr>
        <w:rFonts w:hint="eastAsia"/>
      </w:r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29FCD3E5"/>
    <w:multiLevelType w:val="singleLevel"/>
    <w:tmpl w:val="29FCD3E5"/>
    <w:lvl w:ilvl="0" w:tentative="0">
      <w:start w:val="2"/>
      <w:numFmt w:val="decimal"/>
      <w:lvlText w:val="%1."/>
      <w:lvlJc w:val="left"/>
      <w:pPr>
        <w:tabs>
          <w:tab w:val="left" w:pos="312"/>
        </w:tabs>
      </w:pPr>
    </w:lvl>
  </w:abstractNum>
  <w:abstractNum w:abstractNumId="3">
    <w:nsid w:val="32CD2E15"/>
    <w:multiLevelType w:val="singleLevel"/>
    <w:tmpl w:val="32CD2E15"/>
    <w:lvl w:ilvl="0" w:tentative="0">
      <w:start w:val="1"/>
      <w:numFmt w:val="chineseCounting"/>
      <w:suff w:val="nothing"/>
      <w:lvlText w:val="（%1）"/>
      <w:lvlJc w:val="left"/>
      <w:rPr>
        <w:rFonts w:hint="eastAsia"/>
      </w:rPr>
    </w:lvl>
  </w:abstractNum>
  <w:abstractNum w:abstractNumId="4">
    <w:nsid w:val="40B6F801"/>
    <w:multiLevelType w:val="singleLevel"/>
    <w:tmpl w:val="40B6F801"/>
    <w:lvl w:ilvl="0" w:tentative="0">
      <w:start w:val="4"/>
      <w:numFmt w:val="decimal"/>
      <w:lvlText w:val="%1."/>
      <w:lvlJc w:val="left"/>
      <w:pPr>
        <w:tabs>
          <w:tab w:val="left" w:pos="312"/>
        </w:tabs>
      </w:pPr>
    </w:lvl>
  </w:abstractNum>
  <w:abstractNum w:abstractNumId="5">
    <w:nsid w:val="6AF4BF66"/>
    <w:multiLevelType w:val="singleLevel"/>
    <w:tmpl w:val="6AF4BF66"/>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ZTRkYzZhNDQ3YWM5MmVlNTkxYjhhZGI5MTJjZWUifQ=="/>
  </w:docVars>
  <w:rsids>
    <w:rsidRoot w:val="7E3F0B7D"/>
    <w:rsid w:val="000014A7"/>
    <w:rsid w:val="00052B5B"/>
    <w:rsid w:val="00774AFB"/>
    <w:rsid w:val="00E4217F"/>
    <w:rsid w:val="04500B78"/>
    <w:rsid w:val="04925027"/>
    <w:rsid w:val="06FC5FDC"/>
    <w:rsid w:val="079F393F"/>
    <w:rsid w:val="08073659"/>
    <w:rsid w:val="08470072"/>
    <w:rsid w:val="08943723"/>
    <w:rsid w:val="089B748C"/>
    <w:rsid w:val="092E4FA5"/>
    <w:rsid w:val="09376339"/>
    <w:rsid w:val="09F46074"/>
    <w:rsid w:val="0C030754"/>
    <w:rsid w:val="0C886EAB"/>
    <w:rsid w:val="0DE80AB1"/>
    <w:rsid w:val="0E115DFD"/>
    <w:rsid w:val="0E6C6DF9"/>
    <w:rsid w:val="0EFE3455"/>
    <w:rsid w:val="0F5B5E4E"/>
    <w:rsid w:val="0F9C44BC"/>
    <w:rsid w:val="10624E9A"/>
    <w:rsid w:val="1191549E"/>
    <w:rsid w:val="11D27EAE"/>
    <w:rsid w:val="12433070"/>
    <w:rsid w:val="12AA59AE"/>
    <w:rsid w:val="14832432"/>
    <w:rsid w:val="15303814"/>
    <w:rsid w:val="15617D83"/>
    <w:rsid w:val="15EA4F92"/>
    <w:rsid w:val="17C23271"/>
    <w:rsid w:val="187237A3"/>
    <w:rsid w:val="18E74355"/>
    <w:rsid w:val="19961E55"/>
    <w:rsid w:val="1AB21997"/>
    <w:rsid w:val="1C3E3A7A"/>
    <w:rsid w:val="1C625023"/>
    <w:rsid w:val="1FA76307"/>
    <w:rsid w:val="1FEE422A"/>
    <w:rsid w:val="20290441"/>
    <w:rsid w:val="20D97C1B"/>
    <w:rsid w:val="213B1B76"/>
    <w:rsid w:val="23553F43"/>
    <w:rsid w:val="24B73265"/>
    <w:rsid w:val="2602138D"/>
    <w:rsid w:val="26887D7C"/>
    <w:rsid w:val="286E2CB4"/>
    <w:rsid w:val="28BC12D3"/>
    <w:rsid w:val="2964278E"/>
    <w:rsid w:val="299664C8"/>
    <w:rsid w:val="29A20878"/>
    <w:rsid w:val="29E76BEA"/>
    <w:rsid w:val="2A900FF9"/>
    <w:rsid w:val="2BEE0681"/>
    <w:rsid w:val="2BF67536"/>
    <w:rsid w:val="2C477D91"/>
    <w:rsid w:val="2D104627"/>
    <w:rsid w:val="2E2A7A51"/>
    <w:rsid w:val="2EE3329A"/>
    <w:rsid w:val="2F860BD0"/>
    <w:rsid w:val="301A17F0"/>
    <w:rsid w:val="315F792B"/>
    <w:rsid w:val="32180AC6"/>
    <w:rsid w:val="321A1516"/>
    <w:rsid w:val="33194B3E"/>
    <w:rsid w:val="331F2941"/>
    <w:rsid w:val="33DE6F71"/>
    <w:rsid w:val="349618B6"/>
    <w:rsid w:val="387C5633"/>
    <w:rsid w:val="38F44DFD"/>
    <w:rsid w:val="3C3A0AFA"/>
    <w:rsid w:val="3D5563DD"/>
    <w:rsid w:val="3E7C7E18"/>
    <w:rsid w:val="3F28132A"/>
    <w:rsid w:val="3F9F3D14"/>
    <w:rsid w:val="3FE94119"/>
    <w:rsid w:val="40861896"/>
    <w:rsid w:val="40B144EC"/>
    <w:rsid w:val="40CB2E4D"/>
    <w:rsid w:val="414A33C0"/>
    <w:rsid w:val="41A82C28"/>
    <w:rsid w:val="45365CE5"/>
    <w:rsid w:val="464E6941"/>
    <w:rsid w:val="46BE62D0"/>
    <w:rsid w:val="47392B06"/>
    <w:rsid w:val="49221B6F"/>
    <w:rsid w:val="49990697"/>
    <w:rsid w:val="4B137364"/>
    <w:rsid w:val="4D4A2CFE"/>
    <w:rsid w:val="51312C3A"/>
    <w:rsid w:val="525C6784"/>
    <w:rsid w:val="52F4603B"/>
    <w:rsid w:val="55043A15"/>
    <w:rsid w:val="57152A1D"/>
    <w:rsid w:val="57324305"/>
    <w:rsid w:val="58270854"/>
    <w:rsid w:val="593F2962"/>
    <w:rsid w:val="5A1800CC"/>
    <w:rsid w:val="5A555D82"/>
    <w:rsid w:val="5B9A42C8"/>
    <w:rsid w:val="5E2E5953"/>
    <w:rsid w:val="607A5B2E"/>
    <w:rsid w:val="609D1752"/>
    <w:rsid w:val="62120923"/>
    <w:rsid w:val="626B762E"/>
    <w:rsid w:val="63D243C5"/>
    <w:rsid w:val="64341C13"/>
    <w:rsid w:val="64A05DA7"/>
    <w:rsid w:val="6544153D"/>
    <w:rsid w:val="65521E99"/>
    <w:rsid w:val="68CD37BD"/>
    <w:rsid w:val="699F29DF"/>
    <w:rsid w:val="6A3C4CC7"/>
    <w:rsid w:val="6C940C35"/>
    <w:rsid w:val="6D0E527A"/>
    <w:rsid w:val="6D7B106D"/>
    <w:rsid w:val="6D8130F8"/>
    <w:rsid w:val="6D875C64"/>
    <w:rsid w:val="6E136571"/>
    <w:rsid w:val="6F915ADE"/>
    <w:rsid w:val="705F6A24"/>
    <w:rsid w:val="71EF5B86"/>
    <w:rsid w:val="734D4157"/>
    <w:rsid w:val="737E064B"/>
    <w:rsid w:val="73A87904"/>
    <w:rsid w:val="74162073"/>
    <w:rsid w:val="775D17E4"/>
    <w:rsid w:val="7880543B"/>
    <w:rsid w:val="79D7587D"/>
    <w:rsid w:val="7BDB7E7C"/>
    <w:rsid w:val="7E3F0B7D"/>
    <w:rsid w:val="7F97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3588</Words>
  <Characters>3909</Characters>
  <Lines>5</Lines>
  <Paragraphs>7</Paragraphs>
  <TotalTime>32</TotalTime>
  <ScaleCrop>false</ScaleCrop>
  <LinksUpToDate>false</LinksUpToDate>
  <CharactersWithSpaces>3974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2022-09-08T01:59:41Z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62BE5319E702404588AFDAAFA10DD7DF</vt:lpwstr>
  </property>
</Properties>
</file>