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朔州市朔城区金沙公园事务中心</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宋体" w:hAnsi="宋体"/>
          <w:sz w:val="30"/>
          <w:szCs w:val="30"/>
        </w:rPr>
      </w:pPr>
      <w:r>
        <w:rPr>
          <w:rFonts w:hint="eastAsia" w:ascii="仿宋" w:hAnsi="仿宋" w:eastAsia="仿宋" w:cs="仿宋"/>
          <w:sz w:val="32"/>
          <w:szCs w:val="32"/>
        </w:rPr>
        <w:t>1、</w:t>
      </w:r>
      <w:r>
        <w:rPr>
          <w:rFonts w:hint="eastAsia"/>
          <w:color w:val="000000" w:themeColor="text1"/>
          <w:sz w:val="30"/>
          <w:szCs w:val="30"/>
        </w:rPr>
        <w:t>金沙公园事务中心是朔城区委、区政府围绕“一山一园一河”的生态治</w:t>
      </w:r>
      <w:r>
        <w:rPr>
          <w:rFonts w:hint="eastAsia" w:ascii="宋体" w:hAnsi="宋体"/>
          <w:color w:val="000000" w:themeColor="text1"/>
          <w:sz w:val="30"/>
          <w:szCs w:val="30"/>
        </w:rPr>
        <w:t>理格局，为广大市民提供一个休闲娱乐场所，为全市中小学生提供一个</w:t>
      </w:r>
      <w:r>
        <w:rPr>
          <w:rFonts w:hint="eastAsia" w:ascii="宋体" w:hAnsi="宋体"/>
          <w:sz w:val="30"/>
          <w:szCs w:val="30"/>
        </w:rPr>
        <w:t>教学、科研、科普基地，为市民提供一个紧急避险、避难场所。</w:t>
      </w:r>
    </w:p>
    <w:p>
      <w:pPr>
        <w:ind w:firstLine="600"/>
        <w:rPr>
          <w:rFonts w:ascii="宋体" w:hAnsi="宋体"/>
          <w:sz w:val="30"/>
          <w:szCs w:val="30"/>
        </w:rPr>
      </w:pPr>
      <w:r>
        <w:rPr>
          <w:rFonts w:hint="eastAsia" w:ascii="仿宋" w:hAnsi="仿宋" w:eastAsia="仿宋" w:cs="仿宋"/>
          <w:sz w:val="32"/>
          <w:szCs w:val="32"/>
        </w:rPr>
        <w:t>2、</w:t>
      </w:r>
      <w:r>
        <w:rPr>
          <w:rFonts w:hint="eastAsia" w:ascii="宋体" w:hAnsi="宋体"/>
          <w:sz w:val="30"/>
          <w:szCs w:val="30"/>
        </w:rPr>
        <w:t>为更好地完善园内各项工作，特制定如下工作职责：</w:t>
      </w:r>
    </w:p>
    <w:p>
      <w:pPr>
        <w:ind w:firstLine="600"/>
        <w:jc w:val="left"/>
        <w:rPr>
          <w:rFonts w:ascii="宋体" w:hAnsi="宋体"/>
          <w:sz w:val="30"/>
          <w:szCs w:val="30"/>
        </w:rPr>
      </w:pPr>
      <w:r>
        <w:rPr>
          <w:rFonts w:hint="eastAsia" w:ascii="宋体" w:hAnsi="宋体"/>
          <w:sz w:val="30"/>
          <w:szCs w:val="30"/>
        </w:rPr>
        <w:t>(1)依据公园总体规划及专项规划完成公园的各项建设；</w:t>
      </w:r>
    </w:p>
    <w:p>
      <w:pPr>
        <w:ind w:firstLine="600"/>
        <w:rPr>
          <w:rFonts w:ascii="宋体" w:hAnsi="宋体"/>
          <w:sz w:val="30"/>
          <w:szCs w:val="30"/>
        </w:rPr>
      </w:pPr>
      <w:r>
        <w:rPr>
          <w:rFonts w:hint="eastAsia" w:ascii="宋体" w:hAnsi="宋体"/>
          <w:sz w:val="30"/>
          <w:szCs w:val="30"/>
        </w:rPr>
        <w:t>(2)建设健全公园的各项制度；</w:t>
      </w:r>
    </w:p>
    <w:p>
      <w:pPr>
        <w:ind w:firstLine="600"/>
        <w:rPr>
          <w:rFonts w:ascii="宋体" w:hAnsi="宋体"/>
          <w:sz w:val="30"/>
          <w:szCs w:val="30"/>
        </w:rPr>
      </w:pPr>
      <w:r>
        <w:rPr>
          <w:rFonts w:hint="eastAsia" w:ascii="宋体" w:hAnsi="宋体"/>
          <w:sz w:val="30"/>
          <w:szCs w:val="30"/>
        </w:rPr>
        <w:t>(3)负责公园设施的建设、维护与管理；</w:t>
      </w:r>
    </w:p>
    <w:p>
      <w:pPr>
        <w:ind w:firstLine="600"/>
        <w:rPr>
          <w:rFonts w:ascii="宋体" w:hAnsi="宋体"/>
          <w:sz w:val="30"/>
          <w:szCs w:val="30"/>
        </w:rPr>
      </w:pPr>
      <w:r>
        <w:rPr>
          <w:rFonts w:hint="eastAsia" w:ascii="宋体" w:hAnsi="宋体"/>
          <w:sz w:val="30"/>
          <w:szCs w:val="30"/>
        </w:rPr>
        <w:t>(4)负责公园园容管理和保护；</w:t>
      </w:r>
    </w:p>
    <w:p>
      <w:pPr>
        <w:ind w:firstLine="600"/>
        <w:rPr>
          <w:rFonts w:ascii="宋体" w:hAnsi="宋体"/>
          <w:sz w:val="30"/>
          <w:szCs w:val="30"/>
        </w:rPr>
      </w:pPr>
      <w:r>
        <w:rPr>
          <w:rFonts w:hint="eastAsia" w:ascii="宋体" w:hAnsi="宋体"/>
          <w:sz w:val="30"/>
          <w:szCs w:val="30"/>
        </w:rPr>
        <w:t>(5)加强园内安全管理；</w:t>
      </w:r>
    </w:p>
    <w:p>
      <w:pPr>
        <w:ind w:firstLine="600"/>
        <w:rPr>
          <w:rFonts w:ascii="宋体" w:hAnsi="宋体" w:cs="宋体"/>
          <w:spacing w:val="-3"/>
          <w:sz w:val="30"/>
          <w:szCs w:val="30"/>
        </w:rPr>
      </w:pPr>
      <w:r>
        <w:rPr>
          <w:rFonts w:hint="eastAsia" w:ascii="宋体" w:hAnsi="宋体"/>
          <w:sz w:val="30"/>
          <w:szCs w:val="30"/>
        </w:rPr>
        <w:t>(6)本规定及园林绿化规定的其他职责。</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我单位内设8个科室：</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1、综合办公室; 2、绿化技术指导股;3、后勤保障水电维修股;4、园林清洁股;5、安全保卫股;6、西湖水系管理股;7、新品种科研项目股;8、园林防火巡护股。</w:t>
      </w:r>
    </w:p>
    <w:p>
      <w:pPr>
        <w:pStyle w:val="2"/>
      </w:pPr>
      <w:r>
        <w:rPr>
          <w:rFonts w:hint="eastAsia" w:ascii="宋体" w:hAnsi="宋体" w:eastAsia="仿宋_GB2312" w:cs="Times New Roman"/>
          <w:sz w:val="32"/>
          <w:szCs w:val="32"/>
        </w:rPr>
        <w:t>我单位无下属单位</w:t>
      </w:r>
      <w:r>
        <w:rPr>
          <w:rFonts w:hint="eastAsia" w:ascii="宋体" w:hAnsi="宋体" w:eastAsia="仿宋_GB2312" w:cs="Times New Roman"/>
          <w:sz w:val="32"/>
          <w:szCs w:val="32"/>
          <w:lang w:eastAsia="zh-CN"/>
        </w:rPr>
        <w:t>，隶属于朔州市朔城区林业局。</w:t>
      </w:r>
      <w:r>
        <w:rPr>
          <w:rFonts w:hint="eastAsia" w:ascii="宋体" w:hAnsi="宋体" w:eastAsia="仿宋_GB2312" w:cs="Times New Roman"/>
          <w:sz w:val="32"/>
          <w:szCs w:val="32"/>
        </w:rPr>
        <w:t>我单位决算只包括本级决算。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计1097.82万元 、 支 出 总 计1097.82万元。与 2020年相比,收入总计减少444.78万元，支出总计减少</w:t>
      </w:r>
      <w:r>
        <w:rPr>
          <w:rFonts w:ascii="仿宋" w:hAnsi="仿宋" w:eastAsia="仿宋" w:cs="仿宋"/>
          <w:spacing w:val="-34"/>
          <w:sz w:val="32"/>
          <w:szCs w:val="32"/>
        </w:rPr>
        <w:t xml:space="preserve"> </w:t>
      </w:r>
      <w:r>
        <w:rPr>
          <w:rFonts w:hint="eastAsia" w:ascii="仿宋" w:hAnsi="仿宋" w:eastAsia="仿宋" w:cs="仿宋"/>
          <w:spacing w:val="2"/>
          <w:sz w:val="32"/>
          <w:szCs w:val="32"/>
        </w:rPr>
        <w:t>444.78</w:t>
      </w:r>
      <w:r>
        <w:rPr>
          <w:rFonts w:hint="eastAsia" w:ascii="宋体" w:hAnsi="宋体" w:eastAsia="仿宋_GB2312" w:cs="Times New Roman"/>
          <w:sz w:val="32"/>
          <w:szCs w:val="32"/>
        </w:rPr>
        <w:t>万元。主要原因是：管护运行费减少。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本年收入合计1097.82万元，其中：财政拨款收入1097.82万元;上级补助收入0万元；事业收入 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本年支出合计1097.82万元 ，其中：基本支出</w:t>
      </w:r>
      <w:r>
        <w:rPr>
          <w:rFonts w:hint="eastAsia" w:ascii="仿宋" w:hAnsi="仿宋" w:eastAsia="仿宋" w:cs="仿宋"/>
          <w:sz w:val="32"/>
          <w:szCs w:val="32"/>
        </w:rPr>
        <w:t>94.01</w:t>
      </w:r>
      <w:r>
        <w:rPr>
          <w:rFonts w:hint="eastAsia" w:ascii="宋体" w:hAnsi="宋体" w:eastAsia="仿宋_GB2312" w:cs="Times New Roman"/>
          <w:sz w:val="32"/>
          <w:szCs w:val="32"/>
        </w:rPr>
        <w:t>万元 ；项目支出</w:t>
      </w:r>
      <w:r>
        <w:rPr>
          <w:rFonts w:hint="eastAsia" w:ascii="仿宋" w:hAnsi="仿宋" w:eastAsia="仿宋" w:cs="仿宋"/>
          <w:sz w:val="32"/>
          <w:szCs w:val="32"/>
        </w:rPr>
        <w:t>1003.81</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 xml:space="preserve">2021 年度财政拨款收入总计1097.82万元、支出总计1097.82万元。与 2020 年相比，财政拨款收入总计减少444.78万元，降低28.83%。主要原因是：管护运行费减少。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 xml:space="preserve">2021 年度财政拨款支出1097.82万元，与 2020 年相比，财政拨款支出减少444.78万元。主要原因是：管护运行费减少。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1097.82</w:t>
      </w:r>
      <w:r>
        <w:rPr>
          <w:rFonts w:hint="eastAsia" w:ascii="宋体" w:hAnsi="宋体" w:eastAsia="仿宋_GB2312" w:cs="Times New Roman"/>
          <w:sz w:val="32"/>
          <w:szCs w:val="32"/>
        </w:rPr>
        <w:t>万元，主要用于以下方面：2130204事业机构支出344.01万元，占31.34%；2130299其它林业和草原支出753.81万元，占68.66%。</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2021年度一般公共预算财政拨款支出当年调整预算数1097.82万元，支出决算为</w:t>
      </w:r>
      <w:r>
        <w:rPr>
          <w:rFonts w:hint="eastAsia" w:ascii="仿宋" w:hAnsi="仿宋" w:eastAsia="仿宋" w:cs="仿宋"/>
          <w:sz w:val="32"/>
          <w:szCs w:val="32"/>
        </w:rPr>
        <w:t>1097.82</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lang w:val="en-US" w:eastAsia="zh-CN"/>
        </w:rPr>
        <w:t>94.01</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91.01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89.77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1.24</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1009.81</w:t>
      </w:r>
      <w:r>
        <w:rPr>
          <w:rFonts w:hint="eastAsia" w:ascii="宋体" w:hAnsi="宋体" w:eastAsia="仿宋_GB2312" w:cs="Times New Roman"/>
          <w:sz w:val="32"/>
          <w:szCs w:val="32"/>
        </w:rPr>
        <w:t>万元，主要包括商品和服务支出</w:t>
      </w:r>
      <w:r>
        <w:rPr>
          <w:rFonts w:hint="eastAsia" w:ascii="仿宋" w:hAnsi="仿宋" w:eastAsia="仿宋" w:cs="仿宋"/>
          <w:spacing w:val="4"/>
          <w:sz w:val="32"/>
          <w:szCs w:val="32"/>
          <w:lang w:val="en-US" w:eastAsia="zh-CN"/>
        </w:rPr>
        <w:t>3</w:t>
      </w:r>
      <w:r>
        <w:rPr>
          <w:rFonts w:hint="eastAsia" w:ascii="宋体" w:hAnsi="宋体" w:eastAsia="仿宋_GB2312" w:cs="Times New Roman"/>
          <w:sz w:val="32"/>
          <w:szCs w:val="32"/>
        </w:rPr>
        <w:t>万元。</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2021年我单位无“三公”经费支出。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我单位无机关运行经费支出。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spacing w:line="204" w:lineRule="auto"/>
        <w:ind w:firstLine="640" w:firstLineChars="200"/>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截至2021年12月31日，本部门共有车辆13辆，均为其他用车。</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 我单位严格预算，合理收支，规范操作，优化资源配置，健全制度，资金使用落实到位，保持收支平衡。</w:t>
      </w:r>
    </w:p>
    <w:p>
      <w:pPr>
        <w:rPr>
          <w:rFonts w:ascii="宋体" w:hAnsi="宋体" w:eastAsia="仿宋_GB2312" w:cs="Times New Roman"/>
          <w:sz w:val="32"/>
          <w:szCs w:val="32"/>
        </w:rPr>
      </w:pPr>
      <w:r>
        <w:rPr>
          <w:rFonts w:hint="eastAsia" w:ascii="宋体" w:hAnsi="宋体" w:eastAsia="仿宋_GB2312" w:cs="Times New Roman"/>
          <w:sz w:val="32"/>
          <w:szCs w:val="32"/>
        </w:rPr>
        <w:t>2021年度单位实行绩效目标管理的项目</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个，“春节、元宵节”氛围灯组制作，涉及一般公共预算当年拨款 </w:t>
      </w:r>
      <w:r>
        <w:rPr>
          <w:rFonts w:hint="eastAsia" w:ascii="宋体" w:hAnsi="宋体" w:eastAsia="仿宋_GB2312" w:cs="Times New Roman"/>
          <w:sz w:val="32"/>
          <w:szCs w:val="32"/>
          <w:lang w:val="en-US" w:eastAsia="zh-CN"/>
        </w:rPr>
        <w:t>250</w:t>
      </w:r>
      <w:r>
        <w:rPr>
          <w:rFonts w:hint="eastAsia" w:ascii="宋体" w:hAnsi="宋体" w:eastAsia="仿宋_GB2312" w:cs="Times New Roman"/>
          <w:sz w:val="32"/>
          <w:szCs w:val="32"/>
        </w:rPr>
        <w:t xml:space="preserve"> 万元。</w:t>
      </w:r>
    </w:p>
    <w:p>
      <w:pPr>
        <w:rPr>
          <w:rFonts w:ascii="宋体" w:hAnsi="宋体" w:eastAsia="仿宋_GB2312" w:cs="Times New Roman"/>
          <w:sz w:val="32"/>
          <w:szCs w:val="32"/>
        </w:rPr>
      </w:pPr>
      <w:r>
        <w:rPr>
          <w:rFonts w:hint="eastAsia" w:ascii="宋体" w:hAnsi="宋体" w:eastAsia="仿宋_GB2312" w:cs="Times New Roman"/>
          <w:sz w:val="32"/>
          <w:szCs w:val="32"/>
        </w:rPr>
        <w:t xml:space="preserve"> (2)绩效评价工作取得的成效。</w:t>
      </w:r>
    </w:p>
    <w:p>
      <w:pPr>
        <w:rPr>
          <w:rFonts w:ascii="宋体" w:hAnsi="宋体" w:eastAsia="仿宋_GB2312" w:cs="Times New Roman"/>
          <w:sz w:val="32"/>
          <w:szCs w:val="32"/>
        </w:rPr>
      </w:pPr>
      <w:r>
        <w:rPr>
          <w:rFonts w:hint="eastAsia" w:ascii="宋体" w:hAnsi="宋体" w:eastAsia="仿宋_GB2312" w:cs="Times New Roman"/>
          <w:sz w:val="32"/>
          <w:szCs w:val="32"/>
        </w:rPr>
        <w:t>为广大市民营造了一个祥和快乐的节日氛围环境，得到了游人的一致好评。</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2042D4"/>
    <w:rsid w:val="003C137C"/>
    <w:rsid w:val="006A4732"/>
    <w:rsid w:val="00705796"/>
    <w:rsid w:val="00774AFB"/>
    <w:rsid w:val="0093282F"/>
    <w:rsid w:val="00943FCC"/>
    <w:rsid w:val="00A71547"/>
    <w:rsid w:val="00B621B7"/>
    <w:rsid w:val="00BB40F3"/>
    <w:rsid w:val="00BC1561"/>
    <w:rsid w:val="00C856FE"/>
    <w:rsid w:val="00D1799E"/>
    <w:rsid w:val="00E30348"/>
    <w:rsid w:val="00E4217F"/>
    <w:rsid w:val="0A8204A4"/>
    <w:rsid w:val="0E115DFD"/>
    <w:rsid w:val="11D27EAE"/>
    <w:rsid w:val="20D97C1B"/>
    <w:rsid w:val="23553F43"/>
    <w:rsid w:val="299664C8"/>
    <w:rsid w:val="2A130AB2"/>
    <w:rsid w:val="33D72D97"/>
    <w:rsid w:val="3EF52FB2"/>
    <w:rsid w:val="3F28132A"/>
    <w:rsid w:val="49221B6F"/>
    <w:rsid w:val="4AF0644D"/>
    <w:rsid w:val="6544153D"/>
    <w:rsid w:val="68CD37BD"/>
    <w:rsid w:val="6C940C35"/>
    <w:rsid w:val="73F7726F"/>
    <w:rsid w:val="775355FD"/>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2701</Words>
  <Characters>760</Characters>
  <Lines>6</Lines>
  <Paragraphs>6</Paragraphs>
  <TotalTime>83</TotalTime>
  <ScaleCrop>false</ScaleCrop>
  <LinksUpToDate>false</LinksUpToDate>
  <CharactersWithSpaces>3455</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2022-09-13T02:10:24Z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