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rPr>
        <w:t>朔州市朔城区水土保持生态建设事务中心2021年部门决算公开情况说明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pStyle w:val="9"/>
        <w:tabs>
          <w:tab w:val="right" w:leader="dot" w:pos="8336"/>
        </w:tabs>
        <w:spacing w:line="360" w:lineRule="auto"/>
        <w:ind w:left="420" w:firstLine="294" w:firstLineChars="100"/>
        <w:rPr>
          <w:rFonts w:hint="eastAsia" w:ascii="宋体" w:hAnsi="宋体" w:cs="宋体"/>
          <w:spacing w:val="-3"/>
          <w:sz w:val="30"/>
          <w:szCs w:val="30"/>
        </w:rPr>
      </w:pPr>
      <w:bookmarkStart w:id="2" w:name="_Toc7430_WPSOffice_Level1"/>
      <w:r>
        <w:rPr>
          <w:rFonts w:hint="eastAsia" w:ascii="宋体" w:hAnsi="宋体" w:cs="宋体"/>
          <w:spacing w:val="-3"/>
          <w:sz w:val="30"/>
          <w:szCs w:val="30"/>
        </w:rPr>
        <w:t>主要职能职责</w:t>
      </w:r>
    </w:p>
    <w:p>
      <w:pPr>
        <w:pStyle w:val="9"/>
        <w:tabs>
          <w:tab w:val="right" w:leader="dot" w:pos="8336"/>
        </w:tabs>
        <w:spacing w:line="360" w:lineRule="auto"/>
        <w:ind w:left="420" w:firstLine="294" w:firstLineChars="100"/>
        <w:rPr>
          <w:rFonts w:hint="eastAsia" w:ascii="宋体" w:hAnsi="宋体" w:cs="宋体"/>
          <w:spacing w:val="-3"/>
          <w:sz w:val="30"/>
          <w:szCs w:val="30"/>
        </w:rPr>
      </w:pPr>
      <w:r>
        <w:rPr>
          <w:rFonts w:hint="eastAsia" w:ascii="宋体" w:hAnsi="宋体" w:cs="宋体"/>
          <w:spacing w:val="-3"/>
          <w:sz w:val="30"/>
          <w:szCs w:val="30"/>
        </w:rPr>
        <w:t>1、为全区最严格水资源管理制度落实和考核工作提供技术支撑；为全区取水许可、水资源论证等工作提供技术指导；参与水资源税改革试点工作；指导全区水量分配工作；为全区水资源保护规划编制提供技术支撑，为地下水资源管理和保护提供技术指导；协调水文、水资源监测工作，为全区用水统计年报、水资源管理年报、水资源税年报等编制工作提供技术支撑，协助完成水利行业统计工作。</w:t>
      </w:r>
    </w:p>
    <w:p>
      <w:pPr>
        <w:pStyle w:val="9"/>
        <w:tabs>
          <w:tab w:val="right" w:leader="dot" w:pos="8336"/>
        </w:tabs>
        <w:spacing w:line="360" w:lineRule="auto"/>
        <w:ind w:left="420" w:firstLine="294" w:firstLineChars="100"/>
        <w:rPr>
          <w:rFonts w:hint="eastAsia" w:ascii="宋体" w:hAnsi="宋体" w:cs="宋体"/>
          <w:spacing w:val="-3"/>
          <w:sz w:val="30"/>
          <w:szCs w:val="30"/>
        </w:rPr>
      </w:pPr>
      <w:r>
        <w:rPr>
          <w:rFonts w:hint="eastAsia" w:ascii="宋体" w:hAnsi="宋体" w:cs="宋体"/>
          <w:spacing w:val="-3"/>
          <w:sz w:val="30"/>
          <w:szCs w:val="30"/>
        </w:rPr>
        <w:t>2、推进节约用水工作，为落实节约用水政策、节水型社会建设、节水规划编制、节水指标分配落实等提供技术服务；为全区河长制工作提供技术支撑；协助做好河湖管理保护宣传等区级河长制各项工作；为河长制考核提供技术服务；为全区河湖建设管理、水域岸线管理保护、河道采砂等工作提供技术服务；为全区水利设施的管理、保护和综合利用提供技术服务；为全区水库、拦河闸（坝）工程改造规划、工程运行调度规程、确权划界提供技术指导；为全区水旱灾害防御、洪水影响评价等工作提供技术支撑；为全区水利发展规划编制提供技术服务；为全区水利工程的质量与安全监督提供技术服务；为全区水利行业的安全生产等工作提供技术指导；为全区水利建设市场监督管理、市场信用体系等工作提供技术服务。</w:t>
      </w:r>
    </w:p>
    <w:p>
      <w:pPr>
        <w:pStyle w:val="9"/>
        <w:tabs>
          <w:tab w:val="right" w:leader="dot" w:pos="8336"/>
        </w:tabs>
        <w:spacing w:line="360" w:lineRule="auto"/>
        <w:ind w:left="420" w:firstLine="294" w:firstLineChars="100"/>
        <w:rPr>
          <w:rFonts w:hint="eastAsia" w:ascii="宋体" w:hAnsi="宋体" w:cs="宋体"/>
          <w:spacing w:val="-3"/>
          <w:sz w:val="30"/>
          <w:szCs w:val="30"/>
        </w:rPr>
      </w:pPr>
      <w:r>
        <w:rPr>
          <w:rFonts w:hint="eastAsia" w:ascii="宋体" w:hAnsi="宋体" w:cs="宋体"/>
          <w:spacing w:val="-3"/>
          <w:sz w:val="30"/>
          <w:szCs w:val="30"/>
        </w:rPr>
        <w:t>3、为全区农业农村供水工程建设及管理提供技术指导；为全区水工程移民后期扶持规划、基础设施建设和经济发展规划提供技术指导；为全区水工程移民后期扶持政策实施监测评估工作提供技术服务；为全区水利扶贫工作提供技术指导。为全区水土流失综合防治提供技术指导；为全区水土保持目标责任考核评估工作提供技术支撑；为全区拟定水土保持规划、技术标准等提供技术服务；为全区水土保持监督工作、生产建设项目水土保持方案实施提供技术指导；为全区水土流失综合防治、监测工作提供技术服务；为全区水土流失监测预报、公告、公报、年报等编制和信息化监管应用工作提供技术指导。</w:t>
      </w:r>
    </w:p>
    <w:p>
      <w:pPr>
        <w:pStyle w:val="9"/>
        <w:tabs>
          <w:tab w:val="right" w:leader="dot" w:pos="8336"/>
        </w:tabs>
        <w:spacing w:line="360" w:lineRule="auto"/>
        <w:ind w:left="420" w:firstLine="294" w:firstLineChars="100"/>
        <w:rPr>
          <w:rFonts w:hint="eastAsia" w:ascii="宋体" w:hAnsi="宋体" w:cs="宋体"/>
          <w:spacing w:val="-3"/>
          <w:sz w:val="30"/>
          <w:szCs w:val="30"/>
        </w:rPr>
      </w:pPr>
      <w:r>
        <w:rPr>
          <w:rFonts w:hint="eastAsia" w:ascii="宋体" w:hAnsi="宋体" w:cs="宋体"/>
          <w:spacing w:val="-3"/>
          <w:sz w:val="30"/>
          <w:szCs w:val="30"/>
        </w:rPr>
        <w:t>4、为全区重点水土保持治理项目建设提供技术服务；推广水土保持科研成果，指导全区水土保持服务体系建设；</w:t>
      </w:r>
    </w:p>
    <w:p>
      <w:pPr>
        <w:pStyle w:val="9"/>
        <w:tabs>
          <w:tab w:val="right" w:leader="dot" w:pos="8336"/>
        </w:tabs>
        <w:spacing w:line="360" w:lineRule="auto"/>
        <w:ind w:left="420" w:firstLine="294" w:firstLineChars="100"/>
        <w:rPr>
          <w:rFonts w:hint="eastAsia" w:ascii="宋体" w:hAnsi="宋体" w:cs="宋体"/>
          <w:spacing w:val="-3"/>
          <w:sz w:val="30"/>
          <w:szCs w:val="30"/>
        </w:rPr>
      </w:pPr>
      <w:r>
        <w:rPr>
          <w:rFonts w:hint="eastAsia" w:ascii="宋体" w:hAnsi="宋体" w:cs="宋体"/>
          <w:spacing w:val="-3"/>
          <w:sz w:val="30"/>
          <w:szCs w:val="30"/>
        </w:rPr>
        <w:t>承担区水利局机关交办的其他任务。</w:t>
      </w:r>
    </w:p>
    <w:p>
      <w:pPr>
        <w:pStyle w:val="9"/>
        <w:tabs>
          <w:tab w:val="right" w:leader="dot" w:pos="8336"/>
        </w:tabs>
        <w:spacing w:line="360" w:lineRule="auto"/>
        <w:ind w:left="420" w:firstLine="294" w:firstLineChars="100"/>
        <w:rPr>
          <w:rFonts w:hint="eastAsia" w:ascii="宋体" w:hAnsi="宋体" w:cs="宋体"/>
          <w:spacing w:val="-3"/>
          <w:sz w:val="30"/>
          <w:szCs w:val="30"/>
        </w:rPr>
      </w:pPr>
      <w:r>
        <w:rPr>
          <w:rFonts w:hint="eastAsia" w:ascii="宋体" w:hAnsi="宋体" w:cs="宋体"/>
          <w:spacing w:val="-3"/>
          <w:sz w:val="30"/>
          <w:szCs w:val="30"/>
        </w:rPr>
        <w:t>部门机构设置</w:t>
      </w:r>
    </w:p>
    <w:p>
      <w:pPr>
        <w:pStyle w:val="9"/>
        <w:tabs>
          <w:tab w:val="right" w:leader="dot" w:pos="8336"/>
        </w:tabs>
        <w:spacing w:line="360" w:lineRule="auto"/>
        <w:ind w:left="420" w:firstLine="294" w:firstLineChars="100"/>
        <w:rPr>
          <w:rFonts w:hint="eastAsia" w:ascii="宋体" w:hAnsi="宋体" w:cs="宋体"/>
          <w:spacing w:val="-3"/>
          <w:sz w:val="30"/>
          <w:szCs w:val="30"/>
        </w:rPr>
      </w:pPr>
      <w:r>
        <w:rPr>
          <w:rFonts w:hint="eastAsia" w:ascii="宋体" w:hAnsi="宋体" w:cs="宋体"/>
          <w:spacing w:val="-3"/>
          <w:sz w:val="30"/>
          <w:szCs w:val="30"/>
        </w:rPr>
        <w:t>朔城区水土保持生态建设事务中心内设10个科室，是一级预算单位，无下属单位。从预算单位构成看本部门决算只包括本级决算。</w:t>
      </w:r>
    </w:p>
    <w:p>
      <w:pPr>
        <w:pStyle w:val="2"/>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1"/>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2021 年 度 收 入 总 计83.17万元 、 支 出 总 计83.17万元。与 2020年相比,收入总计减少2.4万元，支出总计减少</w:t>
      </w:r>
      <w:r>
        <w:rPr>
          <w:rFonts w:ascii="仿宋" w:hAnsi="仿宋" w:eastAsia="仿宋" w:cs="仿宋"/>
          <w:spacing w:val="-34"/>
          <w:sz w:val="32"/>
          <w:szCs w:val="32"/>
        </w:rPr>
        <w:t xml:space="preserve"> </w:t>
      </w:r>
      <w:r>
        <w:rPr>
          <w:rFonts w:hint="eastAsia" w:ascii="仿宋" w:hAnsi="仿宋" w:eastAsia="仿宋" w:cs="仿宋"/>
          <w:spacing w:val="2"/>
          <w:sz w:val="32"/>
          <w:szCs w:val="32"/>
        </w:rPr>
        <w:t>2.4</w:t>
      </w:r>
      <w:r>
        <w:rPr>
          <w:rFonts w:hint="eastAsia" w:ascii="宋体" w:hAnsi="宋体" w:eastAsia="仿宋_GB2312" w:cs="Times New Roman"/>
          <w:sz w:val="32"/>
          <w:szCs w:val="32"/>
        </w:rPr>
        <w:t>万元。主要原因是：人员退休与调出。</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rPr>
        <w:t>83.17</w:t>
      </w:r>
      <w:r>
        <w:rPr>
          <w:rFonts w:hint="eastAsia" w:ascii="宋体" w:hAnsi="宋体" w:eastAsia="仿宋_GB2312" w:cs="Times New Roman"/>
          <w:sz w:val="32"/>
          <w:szCs w:val="32"/>
        </w:rPr>
        <w:t>万元，其中：财政拨款收入</w:t>
      </w:r>
      <w:r>
        <w:rPr>
          <w:rFonts w:hint="eastAsia" w:ascii="仿宋" w:hAnsi="仿宋" w:eastAsia="仿宋" w:cs="仿宋"/>
          <w:sz w:val="32"/>
          <w:szCs w:val="32"/>
        </w:rPr>
        <w:t>83.17</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0万元</w:t>
      </w:r>
      <w:r>
        <w:rPr>
          <w:rFonts w:hint="eastAsia" w:ascii="宋体" w:hAnsi="宋体" w:eastAsia="仿宋_GB2312" w:cs="Times New Roman"/>
          <w:sz w:val="32"/>
          <w:szCs w:val="32"/>
        </w:rPr>
        <w:t>；事业收入</w:t>
      </w:r>
      <w:r>
        <w:rPr>
          <w:rFonts w:hint="eastAsia" w:ascii="宋体" w:hAnsi="宋体" w:eastAsia="仿宋_GB2312" w:cs="Times New Roman"/>
          <w:sz w:val="32"/>
          <w:szCs w:val="32"/>
          <w:lang w:val="en-US" w:eastAsia="zh-CN"/>
        </w:rPr>
        <w:t>0万元</w:t>
      </w:r>
      <w:r>
        <w:rPr>
          <w:rFonts w:hint="eastAsia" w:ascii="宋体" w:hAnsi="宋体" w:eastAsia="仿宋_GB2312" w:cs="Times New Roman"/>
          <w:sz w:val="32"/>
          <w:szCs w:val="32"/>
        </w:rPr>
        <w:t xml:space="preserve"> ；经营收入</w:t>
      </w:r>
      <w:r>
        <w:rPr>
          <w:rFonts w:hint="eastAsia" w:ascii="宋体" w:hAnsi="宋体" w:eastAsia="仿宋_GB2312" w:cs="Times New Roman"/>
          <w:sz w:val="32"/>
          <w:szCs w:val="32"/>
          <w:lang w:val="en-US" w:eastAsia="zh-CN"/>
        </w:rPr>
        <w:t>0万元</w:t>
      </w:r>
      <w:r>
        <w:rPr>
          <w:rFonts w:hint="eastAsia" w:ascii="宋体" w:hAnsi="宋体" w:eastAsia="仿宋_GB2312" w:cs="Times New Roman"/>
          <w:sz w:val="32"/>
          <w:szCs w:val="32"/>
        </w:rPr>
        <w:t>；附属单位上缴收入</w:t>
      </w:r>
      <w:r>
        <w:rPr>
          <w:rFonts w:hint="eastAsia" w:ascii="宋体" w:hAnsi="宋体" w:eastAsia="仿宋_GB2312" w:cs="Times New Roman"/>
          <w:sz w:val="32"/>
          <w:szCs w:val="32"/>
          <w:lang w:val="en-US" w:eastAsia="zh-CN"/>
        </w:rPr>
        <w:t>0万元</w:t>
      </w:r>
      <w:r>
        <w:rPr>
          <w:rFonts w:hint="eastAsia" w:ascii="宋体" w:hAnsi="宋体" w:eastAsia="仿宋_GB2312" w:cs="Times New Roman"/>
          <w:sz w:val="32"/>
          <w:szCs w:val="32"/>
        </w:rPr>
        <w:t xml:space="preserve"> ；其他收入</w:t>
      </w:r>
      <w:r>
        <w:rPr>
          <w:rFonts w:hint="eastAsia" w:ascii="宋体" w:hAnsi="宋体" w:eastAsia="仿宋_GB2312" w:cs="Times New Roman"/>
          <w:sz w:val="32"/>
          <w:szCs w:val="32"/>
          <w:lang w:val="en-US" w:eastAsia="zh-CN"/>
        </w:rPr>
        <w:t>0万元</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rPr>
        <w:t>83.17</w:t>
      </w:r>
      <w:r>
        <w:rPr>
          <w:rFonts w:hint="eastAsia" w:ascii="宋体" w:hAnsi="宋体" w:eastAsia="仿宋_GB2312" w:cs="Times New Roman"/>
          <w:sz w:val="32"/>
          <w:szCs w:val="32"/>
        </w:rPr>
        <w:t>万元 ，其中：基本支出</w:t>
      </w:r>
      <w:r>
        <w:rPr>
          <w:rFonts w:hint="eastAsia" w:ascii="仿宋" w:hAnsi="仿宋" w:eastAsia="仿宋" w:cs="仿宋"/>
          <w:sz w:val="32"/>
          <w:szCs w:val="32"/>
        </w:rPr>
        <w:t>83.17</w:t>
      </w:r>
      <w:r>
        <w:rPr>
          <w:rFonts w:hint="eastAsia" w:ascii="宋体" w:hAnsi="宋体" w:eastAsia="仿宋_GB2312" w:cs="Times New Roman"/>
          <w:sz w:val="32"/>
          <w:szCs w:val="32"/>
        </w:rPr>
        <w:t>万元 ；项目支出</w:t>
      </w:r>
      <w:r>
        <w:rPr>
          <w:rFonts w:hint="eastAsia" w:ascii="宋体" w:hAnsi="宋体" w:eastAsia="仿宋_GB2312" w:cs="Times New Roman"/>
          <w:sz w:val="32"/>
          <w:szCs w:val="32"/>
          <w:lang w:val="en-US" w:eastAsia="zh-CN"/>
        </w:rPr>
        <w:t>0万元</w:t>
      </w:r>
      <w:r>
        <w:rPr>
          <w:rFonts w:hint="eastAsia" w:ascii="宋体" w:hAnsi="宋体" w:eastAsia="仿宋_GB2312" w:cs="Times New Roman"/>
          <w:sz w:val="32"/>
          <w:szCs w:val="32"/>
        </w:rPr>
        <w:t>；上缴上级支出</w:t>
      </w:r>
      <w:r>
        <w:rPr>
          <w:rFonts w:hint="eastAsia" w:ascii="宋体" w:hAnsi="宋体" w:eastAsia="仿宋_GB2312" w:cs="Times New Roman"/>
          <w:sz w:val="32"/>
          <w:szCs w:val="32"/>
          <w:lang w:val="en-US" w:eastAsia="zh-CN"/>
        </w:rPr>
        <w:t>0万元</w:t>
      </w:r>
      <w:r>
        <w:rPr>
          <w:rFonts w:hint="eastAsia" w:ascii="宋体" w:hAnsi="宋体" w:eastAsia="仿宋_GB2312" w:cs="Times New Roman"/>
          <w:sz w:val="32"/>
          <w:szCs w:val="32"/>
        </w:rPr>
        <w:t>，经营支出</w:t>
      </w:r>
      <w:r>
        <w:rPr>
          <w:rFonts w:hint="eastAsia" w:ascii="宋体" w:hAnsi="宋体" w:eastAsia="仿宋_GB2312" w:cs="Times New Roman"/>
          <w:sz w:val="32"/>
          <w:szCs w:val="32"/>
          <w:lang w:val="en-US" w:eastAsia="zh-CN"/>
        </w:rPr>
        <w:t>0万元</w:t>
      </w:r>
      <w:r>
        <w:rPr>
          <w:rFonts w:hint="eastAsia" w:ascii="宋体" w:hAnsi="宋体" w:eastAsia="仿宋_GB2312" w:cs="Times New Roman"/>
          <w:sz w:val="32"/>
          <w:szCs w:val="32"/>
        </w:rPr>
        <w:t>；对附属单位补助支出</w:t>
      </w:r>
      <w:r>
        <w:rPr>
          <w:rFonts w:hint="eastAsia" w:ascii="宋体" w:hAnsi="宋体" w:eastAsia="仿宋_GB2312" w:cs="Times New Roman"/>
          <w:sz w:val="32"/>
          <w:szCs w:val="32"/>
          <w:lang w:val="en-US" w:eastAsia="zh-CN"/>
        </w:rPr>
        <w:t>0万元</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rPr>
        <w:t>2021 年度财政拨款收入总计</w:t>
      </w:r>
      <w:r>
        <w:rPr>
          <w:rFonts w:hint="eastAsia" w:ascii="仿宋" w:hAnsi="仿宋" w:eastAsia="仿宋" w:cs="仿宋"/>
          <w:sz w:val="32"/>
          <w:szCs w:val="32"/>
        </w:rPr>
        <w:t>83.17</w:t>
      </w:r>
      <w:r>
        <w:rPr>
          <w:rFonts w:hint="eastAsia" w:ascii="宋体" w:hAnsi="宋体" w:eastAsia="仿宋_GB2312" w:cs="Times New Roman"/>
          <w:sz w:val="32"/>
          <w:szCs w:val="32"/>
        </w:rPr>
        <w:t>万元、支出总计83.17万元。与 2020 年相比，财政拨款收入总计减少</w:t>
      </w:r>
      <w:r>
        <w:rPr>
          <w:rFonts w:ascii="仿宋" w:hAnsi="仿宋" w:eastAsia="仿宋" w:cs="仿宋"/>
          <w:spacing w:val="-34"/>
          <w:sz w:val="32"/>
          <w:szCs w:val="32"/>
        </w:rPr>
        <w:t xml:space="preserve"> </w:t>
      </w:r>
      <w:r>
        <w:rPr>
          <w:rFonts w:hint="eastAsia" w:ascii="仿宋" w:hAnsi="仿宋" w:eastAsia="仿宋" w:cs="仿宋"/>
          <w:spacing w:val="-34"/>
          <w:sz w:val="32"/>
          <w:szCs w:val="32"/>
        </w:rPr>
        <w:t>2.4</w:t>
      </w:r>
      <w:r>
        <w:rPr>
          <w:rFonts w:hint="eastAsia" w:ascii="宋体" w:hAnsi="宋体" w:eastAsia="仿宋_GB2312" w:cs="Times New Roman"/>
          <w:sz w:val="32"/>
          <w:szCs w:val="32"/>
        </w:rPr>
        <w:t>万元，降低2.90%。主要原因是：人员退休和调出。</w:t>
      </w:r>
    </w:p>
    <w:p>
      <w:pPr>
        <w:spacing w:line="204" w:lineRule="auto"/>
        <w:jc w:val="left"/>
        <w:rPr>
          <w:rFonts w:hint="eastAsia" w:ascii="楷体" w:hAnsi="楷体" w:eastAsia="楷体" w:cs="楷体"/>
          <w:spacing w:val="-3"/>
          <w:sz w:val="32"/>
          <w:szCs w:val="32"/>
        </w:rPr>
      </w:pPr>
      <w:r>
        <w:rPr>
          <w:rFonts w:hint="eastAsia" w:ascii="楷体" w:hAnsi="楷体" w:eastAsia="楷体" w:cs="楷体"/>
          <w:spacing w:val="-3"/>
          <w:sz w:val="32"/>
          <w:szCs w:val="32"/>
        </w:rPr>
        <w:t>五、一般公算财政拨款支出决算情况说明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 年度财政拨款支出</w:t>
      </w:r>
      <w:r>
        <w:rPr>
          <w:rFonts w:hint="eastAsia" w:ascii="仿宋" w:hAnsi="仿宋" w:eastAsia="仿宋" w:cs="仿宋"/>
          <w:sz w:val="32"/>
          <w:szCs w:val="32"/>
        </w:rPr>
        <w:t>83.17</w:t>
      </w:r>
      <w:r>
        <w:rPr>
          <w:rFonts w:hint="eastAsia" w:ascii="宋体" w:hAnsi="宋体" w:eastAsia="仿宋_GB2312" w:cs="Times New Roman"/>
          <w:sz w:val="32"/>
          <w:szCs w:val="32"/>
        </w:rPr>
        <w:t>万元，与 2020 年相比，财政拨款支出减少2.4万元。主要原因是：人员退休和调出。</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rPr>
        <w:t>2021 年度财政拨款支出</w:t>
      </w:r>
      <w:r>
        <w:rPr>
          <w:rFonts w:hint="eastAsia" w:ascii="仿宋" w:hAnsi="仿宋" w:eastAsia="仿宋" w:cs="仿宋"/>
          <w:sz w:val="32"/>
          <w:szCs w:val="32"/>
        </w:rPr>
        <w:t>83.17</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2130303机关服务支出83.17万元，占比100%</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2021年度一般公共预算财政拨款支出当年调整预算数83.17万元，支出决算为</w:t>
      </w:r>
      <w:r>
        <w:rPr>
          <w:rFonts w:hint="eastAsia" w:ascii="仿宋" w:hAnsi="仿宋" w:eastAsia="仿宋" w:cs="仿宋"/>
          <w:sz w:val="32"/>
          <w:szCs w:val="32"/>
        </w:rPr>
        <w:t>83.17</w:t>
      </w:r>
      <w:r>
        <w:rPr>
          <w:rFonts w:hint="eastAsia" w:ascii="宋体" w:hAnsi="宋体" w:eastAsia="仿宋_GB2312" w:cs="Times New Roman"/>
          <w:sz w:val="32"/>
          <w:szCs w:val="32"/>
        </w:rPr>
        <w:t>万元，完成当年调整预算的100%。</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highlight w:val="none"/>
        </w:rPr>
      </w:pPr>
      <w:bookmarkStart w:id="16" w:name="_Toc21993_WPSOffice_Level2"/>
      <w:bookmarkStart w:id="17" w:name="_Toc28951_WPSOffice_Level2"/>
      <w:r>
        <w:rPr>
          <w:rFonts w:hint="eastAsia" w:ascii="宋体" w:hAnsi="宋体" w:eastAsia="仿宋_GB2312" w:cs="Times New Roman"/>
          <w:sz w:val="32"/>
          <w:szCs w:val="32"/>
          <w:highlight w:val="none"/>
        </w:rPr>
        <w:t>2021 年度财政拨款基本支出</w:t>
      </w:r>
      <w:r>
        <w:rPr>
          <w:rFonts w:hint="eastAsia" w:ascii="仿宋" w:hAnsi="仿宋" w:eastAsia="仿宋" w:cs="仿宋"/>
          <w:spacing w:val="4"/>
          <w:sz w:val="32"/>
          <w:szCs w:val="32"/>
          <w:highlight w:val="none"/>
        </w:rPr>
        <w:t>83.17</w:t>
      </w:r>
      <w:r>
        <w:rPr>
          <w:rFonts w:hint="eastAsia" w:ascii="宋体" w:hAnsi="宋体" w:eastAsia="仿宋_GB2312" w:cs="Times New Roman"/>
          <w:sz w:val="32"/>
          <w:szCs w:val="32"/>
          <w:highlight w:val="none"/>
        </w:rPr>
        <w:t>万元，其中：人员经费</w:t>
      </w:r>
      <w:r>
        <w:rPr>
          <w:rFonts w:hint="eastAsia" w:ascii="仿宋" w:hAnsi="仿宋" w:eastAsia="仿宋" w:cs="仿宋"/>
          <w:spacing w:val="4"/>
          <w:sz w:val="32"/>
          <w:szCs w:val="32"/>
          <w:highlight w:val="none"/>
        </w:rPr>
        <w:t>80.77</w:t>
      </w:r>
      <w:r>
        <w:rPr>
          <w:rFonts w:hint="eastAsia" w:ascii="宋体" w:hAnsi="宋体" w:eastAsia="仿宋_GB2312" w:cs="Times New Roman"/>
          <w:sz w:val="32"/>
          <w:szCs w:val="32"/>
          <w:highlight w:val="none"/>
        </w:rPr>
        <w:t>万元，主要包括工资福利支出</w:t>
      </w:r>
      <w:r>
        <w:rPr>
          <w:rFonts w:hint="eastAsia" w:ascii="仿宋" w:hAnsi="仿宋" w:eastAsia="仿宋" w:cs="仿宋"/>
          <w:spacing w:val="4"/>
          <w:sz w:val="32"/>
          <w:szCs w:val="32"/>
          <w:highlight w:val="none"/>
        </w:rPr>
        <w:t>78.14</w:t>
      </w:r>
      <w:r>
        <w:rPr>
          <w:rFonts w:hint="eastAsia" w:ascii="宋体" w:hAnsi="宋体" w:eastAsia="仿宋_GB2312" w:cs="Times New Roman"/>
          <w:sz w:val="32"/>
          <w:szCs w:val="32"/>
          <w:highlight w:val="none"/>
        </w:rPr>
        <w:t>万元和对个人和家庭的补助</w:t>
      </w:r>
      <w:r>
        <w:rPr>
          <w:rFonts w:hint="eastAsia" w:ascii="仿宋" w:hAnsi="仿宋" w:eastAsia="仿宋" w:cs="仿宋"/>
          <w:spacing w:val="4"/>
          <w:sz w:val="32"/>
          <w:szCs w:val="32"/>
          <w:highlight w:val="none"/>
        </w:rPr>
        <w:t>2.63</w:t>
      </w:r>
      <w:r>
        <w:rPr>
          <w:rFonts w:hint="eastAsia" w:ascii="宋体" w:hAnsi="宋体" w:eastAsia="仿宋_GB2312" w:cs="Times New Roman"/>
          <w:sz w:val="32"/>
          <w:szCs w:val="32"/>
          <w:highlight w:val="none"/>
        </w:rPr>
        <w:t>万元；公用经费</w:t>
      </w:r>
      <w:r>
        <w:rPr>
          <w:rFonts w:hint="eastAsia" w:ascii="仿宋" w:hAnsi="仿宋" w:eastAsia="仿宋" w:cs="仿宋"/>
          <w:spacing w:val="4"/>
          <w:sz w:val="32"/>
          <w:szCs w:val="32"/>
          <w:highlight w:val="none"/>
        </w:rPr>
        <w:t>2.4</w:t>
      </w:r>
      <w:r>
        <w:rPr>
          <w:rFonts w:hint="eastAsia" w:ascii="宋体" w:hAnsi="宋体" w:eastAsia="仿宋_GB2312" w:cs="Times New Roman"/>
          <w:sz w:val="32"/>
          <w:szCs w:val="32"/>
          <w:highlight w:val="none"/>
        </w:rPr>
        <w:t xml:space="preserve">万元，主要包括商品和服务支出 </w:t>
      </w:r>
      <w:r>
        <w:rPr>
          <w:rFonts w:hint="eastAsia" w:ascii="仿宋" w:hAnsi="仿宋" w:eastAsia="仿宋" w:cs="仿宋"/>
          <w:spacing w:val="4"/>
          <w:sz w:val="32"/>
          <w:szCs w:val="32"/>
          <w:highlight w:val="none"/>
        </w:rPr>
        <w:t>2.4</w:t>
      </w:r>
      <w:r>
        <w:rPr>
          <w:rFonts w:hint="eastAsia" w:ascii="宋体" w:hAnsi="宋体" w:eastAsia="仿宋_GB2312" w:cs="Times New Roman"/>
          <w:sz w:val="32"/>
          <w:szCs w:val="32"/>
          <w:highlight w:val="none"/>
        </w:rPr>
        <w:t>万元.无资本性支出。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highlight w:val="none"/>
        </w:rPr>
      </w:pPr>
      <w:bookmarkStart w:id="18" w:name="_Toc9131_WPSOffice_Level2"/>
      <w:bookmarkStart w:id="19" w:name="_Toc10214_WPSOffice_Level2"/>
      <w:r>
        <w:rPr>
          <w:rFonts w:hint="eastAsia" w:ascii="宋体" w:hAnsi="宋体" w:eastAsia="仿宋_GB2312" w:cs="Times New Roman"/>
          <w:sz w:val="32"/>
          <w:szCs w:val="32"/>
          <w:highlight w:val="none"/>
        </w:rPr>
        <w:t>2021年“三公”经费一般公共预算财政拨款支出预算数</w:t>
      </w:r>
      <w:r>
        <w:rPr>
          <w:rFonts w:hint="eastAsia" w:ascii="仿宋" w:hAnsi="仿宋" w:eastAsia="仿宋" w:cs="仿宋"/>
          <w:spacing w:val="4"/>
          <w:sz w:val="32"/>
          <w:szCs w:val="32"/>
          <w:highlight w:val="none"/>
        </w:rPr>
        <w:t>1</w:t>
      </w:r>
      <w:r>
        <w:rPr>
          <w:rFonts w:hint="eastAsia" w:ascii="宋体" w:hAnsi="宋体" w:eastAsia="仿宋_GB2312" w:cs="Times New Roman"/>
          <w:sz w:val="32"/>
          <w:szCs w:val="32"/>
          <w:highlight w:val="none"/>
        </w:rPr>
        <w:t>万元，2021年“三公”经费一般公共预算财政拨款支出决算数</w:t>
      </w:r>
      <w:r>
        <w:rPr>
          <w:rFonts w:hint="eastAsia" w:ascii="仿宋" w:hAnsi="仿宋" w:eastAsia="仿宋" w:cs="仿宋"/>
          <w:spacing w:val="4"/>
          <w:sz w:val="32"/>
          <w:szCs w:val="32"/>
          <w:highlight w:val="none"/>
        </w:rPr>
        <w:t>1</w:t>
      </w:r>
      <w:r>
        <w:rPr>
          <w:rFonts w:hint="eastAsia" w:ascii="宋体" w:hAnsi="宋体" w:eastAsia="仿宋_GB2312" w:cs="Times New Roman"/>
          <w:sz w:val="32"/>
          <w:szCs w:val="32"/>
          <w:highlight w:val="none"/>
        </w:rPr>
        <w:t>万元，比2020年决算数增加</w:t>
      </w:r>
      <w:r>
        <w:rPr>
          <w:rFonts w:hint="eastAsia" w:ascii="仿宋" w:hAnsi="仿宋" w:eastAsia="仿宋" w:cs="仿宋"/>
          <w:spacing w:val="4"/>
          <w:sz w:val="32"/>
          <w:szCs w:val="32"/>
          <w:highlight w:val="none"/>
        </w:rPr>
        <w:t>0.09</w:t>
      </w:r>
      <w:r>
        <w:rPr>
          <w:rFonts w:hint="eastAsia" w:ascii="宋体" w:hAnsi="宋体" w:eastAsia="仿宋_GB2312" w:cs="Times New Roman"/>
          <w:sz w:val="32"/>
          <w:szCs w:val="32"/>
          <w:highlight w:val="none"/>
        </w:rPr>
        <w:t>万元，原因是事业单位改革、业务增多，公务车使用次数多于去年。其中：公务用车运行维护费</w:t>
      </w:r>
      <w:r>
        <w:rPr>
          <w:rFonts w:hint="eastAsia" w:ascii="仿宋" w:hAnsi="仿宋" w:eastAsia="仿宋" w:cs="仿宋"/>
          <w:spacing w:val="4"/>
          <w:sz w:val="32"/>
          <w:szCs w:val="32"/>
          <w:highlight w:val="none"/>
        </w:rPr>
        <w:t>1</w:t>
      </w:r>
      <w:r>
        <w:rPr>
          <w:rFonts w:hint="eastAsia" w:ascii="宋体" w:hAnsi="宋体" w:eastAsia="仿宋_GB2312" w:cs="Times New Roman"/>
          <w:sz w:val="32"/>
          <w:szCs w:val="32"/>
          <w:highlight w:val="none"/>
        </w:rPr>
        <w:t>万元，比上年增加</w:t>
      </w:r>
      <w:r>
        <w:rPr>
          <w:rFonts w:hint="eastAsia" w:ascii="仿宋" w:hAnsi="仿宋" w:eastAsia="仿宋" w:cs="仿宋"/>
          <w:spacing w:val="4"/>
          <w:sz w:val="32"/>
          <w:szCs w:val="32"/>
          <w:highlight w:val="none"/>
        </w:rPr>
        <w:t>0.09</w:t>
      </w:r>
      <w:r>
        <w:rPr>
          <w:rFonts w:hint="eastAsia" w:ascii="宋体" w:hAnsi="宋体" w:eastAsia="仿宋_GB2312" w:cs="Times New Roman"/>
          <w:sz w:val="32"/>
          <w:szCs w:val="32"/>
          <w:highlight w:val="none"/>
        </w:rPr>
        <w:t>万元，原因是公务车使用次数多于去年。</w:t>
      </w:r>
    </w:p>
    <w:bookmarkEnd w:id="18"/>
    <w:bookmarkEnd w:id="19"/>
    <w:p>
      <w:pPr>
        <w:numPr>
          <w:ilvl w:val="0"/>
          <w:numId w:val="2"/>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我单位2021年无政府性基金预算。</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我单位2021年无机关运行经费。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2021年我单位无政府采购。</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截至2021年12月31日，本部门共有车辆4辆，其中，主要领导干部用车0辆、机要通信用车0辆、应急保障用车0辆、执法执勤用车0辆、特种专业技术用车4辆、离退休干部用车0辆、其他用车0辆， 单价50万元（含）以上的通用设备0台（套），单价100万元（含）以上专用设备0台（套）。我单位无国有资产占用情况。</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bookmarkStart w:id="22" w:name="_GoBack"/>
      <w:bookmarkEnd w:id="22"/>
    </w:p>
    <w:p>
      <w:pPr>
        <w:ind w:firstLine="320" w:firstLineChars="100"/>
        <w:rPr>
          <w:sz w:val="30"/>
          <w:szCs w:val="30"/>
        </w:rPr>
      </w:pPr>
      <w:r>
        <w:rPr>
          <w:rFonts w:hint="eastAsia" w:ascii="宋体" w:hAnsi="宋体" w:eastAsia="仿宋_GB2312" w:cs="Times New Roman"/>
          <w:sz w:val="32"/>
          <w:szCs w:val="32"/>
        </w:rPr>
        <w:t>2021年我单位无实行绩效目标管理的项目。</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40B6F801"/>
    <w:multiLevelType w:val="singleLevel"/>
    <w:tmpl w:val="40B6F801"/>
    <w:lvl w:ilvl="0" w:tentative="0">
      <w:start w:val="4"/>
      <w:numFmt w:val="decimal"/>
      <w:lvlText w:val="%1."/>
      <w:lvlJc w:val="left"/>
      <w:pPr>
        <w:tabs>
          <w:tab w:val="left" w:pos="312"/>
        </w:tabs>
      </w:pPr>
    </w:lvl>
  </w:abstractNum>
  <w:abstractNum w:abstractNumId="2">
    <w:nsid w:val="6AF4BF66"/>
    <w:multiLevelType w:val="singleLevel"/>
    <w:tmpl w:val="6AF4BF66"/>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diMmY2OWJiZTI4NGYxNzFhNWNjYTE2OTUyOWJkMGUifQ=="/>
  </w:docVars>
  <w:rsids>
    <w:rsidRoot w:val="7E3F0B7D"/>
    <w:rsid w:val="000014A7"/>
    <w:rsid w:val="00052B5B"/>
    <w:rsid w:val="000A3CC0"/>
    <w:rsid w:val="000B2764"/>
    <w:rsid w:val="00126261"/>
    <w:rsid w:val="00136322"/>
    <w:rsid w:val="001A7C0F"/>
    <w:rsid w:val="002E292A"/>
    <w:rsid w:val="00320F67"/>
    <w:rsid w:val="003456D5"/>
    <w:rsid w:val="00365437"/>
    <w:rsid w:val="003C6E11"/>
    <w:rsid w:val="004335B2"/>
    <w:rsid w:val="004D753A"/>
    <w:rsid w:val="004F01C1"/>
    <w:rsid w:val="005A23E3"/>
    <w:rsid w:val="005D6242"/>
    <w:rsid w:val="005E0A94"/>
    <w:rsid w:val="00663D53"/>
    <w:rsid w:val="006A39AC"/>
    <w:rsid w:val="00774AFB"/>
    <w:rsid w:val="0082307F"/>
    <w:rsid w:val="00871D68"/>
    <w:rsid w:val="008F6808"/>
    <w:rsid w:val="009009FB"/>
    <w:rsid w:val="00952EA7"/>
    <w:rsid w:val="00AA34E8"/>
    <w:rsid w:val="00B63D72"/>
    <w:rsid w:val="00B674F4"/>
    <w:rsid w:val="00BB6A56"/>
    <w:rsid w:val="00C67A95"/>
    <w:rsid w:val="00CB3FD1"/>
    <w:rsid w:val="00DC64C5"/>
    <w:rsid w:val="00E14469"/>
    <w:rsid w:val="00E26CDD"/>
    <w:rsid w:val="00E4217F"/>
    <w:rsid w:val="00ED5292"/>
    <w:rsid w:val="00F409C4"/>
    <w:rsid w:val="00F5083B"/>
    <w:rsid w:val="00F85665"/>
    <w:rsid w:val="0E115DFD"/>
    <w:rsid w:val="11D27EAE"/>
    <w:rsid w:val="20D97C1B"/>
    <w:rsid w:val="23553F43"/>
    <w:rsid w:val="299664C8"/>
    <w:rsid w:val="2CAD2FF8"/>
    <w:rsid w:val="2F5071C9"/>
    <w:rsid w:val="320C5EC9"/>
    <w:rsid w:val="36145324"/>
    <w:rsid w:val="3EE604A1"/>
    <w:rsid w:val="3F28132A"/>
    <w:rsid w:val="49221B6F"/>
    <w:rsid w:val="56576A20"/>
    <w:rsid w:val="65090805"/>
    <w:rsid w:val="6544153D"/>
    <w:rsid w:val="68CD37BD"/>
    <w:rsid w:val="696D6156"/>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0">
    <w:name w:val="页脚 Char"/>
    <w:link w:val="4"/>
    <w:qFormat/>
    <w:uiPriority w:val="0"/>
    <w:rPr>
      <w:rFonts w:asciiTheme="minorHAnsi" w:hAnsiTheme="minorHAnsi" w:eastAsiaTheme="minorEastAsia" w:cstheme="minorBidi"/>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3321</Words>
  <Characters>655</Characters>
  <Lines>5</Lines>
  <Paragraphs>7</Paragraphs>
  <TotalTime>155</TotalTime>
  <ScaleCrop>false</ScaleCrop>
  <LinksUpToDate>false</LinksUpToDate>
  <CharactersWithSpaces>3969</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2022-09-14T01:27:14Z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74A35BEB76B74CD99E98C21FF0DBB8AE</vt:lpwstr>
  </property>
</Properties>
</file>