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朔城区北旺庄街道办事处</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1、坚决执行党的路线、方针、政策和国家的法律、法规。执行上级党委、政府的决定和命令以及人民代表大会的决议。贯彻落实区委、区政府的重大决策和重要工作部署。</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2、制定并组织实施本办事处社会和经济发展规划。预算和管理本行政区域内的经济、教育、科学、文化、卫生、体育事业以及财政、民政、公安、司法、计划生育等综合性工作。</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3、按计划组织本级财政收入，完成财政计划，管好财政资金，增强财政实力。</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4、向本办党工委、人民代表大会报告工作。组织指导好农业生产和居委会、村委会的工作，抓好基层政权建设、乡村建设和精神文明建设，促进各项社会事业的健康发展。</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6、完成上级党委，政府下达的其他各项工作任务。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（二）部门机构设置</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我单位设置五个办公室分别是：1、党建办公室，负责街道和社区（村）党建工作协调指导；负责协调纪检监察、组织、宣传、统战、机构编制、巡察、老干部、人武等方面工作；负责协调人大、政协、工会、团委和妇联工作；负责人事、保密、档案及公文收发、材料拟写和信息编报等工作。完成街道党工委、办事处和上级有关部门交办的其他任务。2、公共管理办公室，负责协调发展和改革、工业和信息化、自然资源、住房和城乡建设、城乡管理、交通运输、水务、农业农村、商务、统计等方面工作；协调配合市场监管、生态环境保护等相关工作。完成街道党工委、办事处和上级有关部门交办的其他任务。3、公共服务办公室，负责协调教育、科学技术、民政、财政、人力资源和社会保障、文化旅游、卫生健康和体育、退役军人事务、审计、医疗保障、行政审批服务等方面工作；负责协调残联、文联、工商联、科协等方面工作；负责财务、固定资产管理和后勤服务等方面工作。完成街道党工委、办事处和上级有关部门交办的其他任务。4、公共安全办公室（挂平安建设办公室牌子）负责矛盾纠纷化解、特殊人群服务管理、公共安全风险防控、法治宣传教育，基层平安创建、网格化服务管理和群防群治等相关工作；负责协调应急管理和安全生产、信访等方面工作；协调配合司法等相关工作。完成街道党工委、办事处和上级有关部门交办的其他任务。5、综合行政执法办公室，作为基层综合行政执法平台，负责统筹协调辖区内市场监管、交通运输、农业农村、文化旅游、生态环境保护、城市管理等各领域派驻执法力量、公安等派出执法机构开展联合执法工作；组织开展对区域内各类专业执法的群众监督和社会监督。完成街道党工委、办事处和上级有关部门交办的其他任务。</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两个中心和一个工作站：分别是：1、党群服务中心，负责发挥服务党组织和党员群众的功能，开展宣传党的方针政策和理论知识、党务政策咨询等活动；提供党员培训活动场所，做好区域党建活动的日常组织、协调、联络和服务工作；为街道、社区（村）党组织、党员群众和有需求的单位提供相关服务和资源保障；负责党群志愿者队伍建设和组织开展志愿服务活动。完成街道党工委、办事处和上级有关部门交办的其他任务。2、综合便民服务中心，负责制定街道综合便民服务中心的管理制度并组织实施；结合实际设置社区（村）群众来信来访、卫生健康、就业和社会保障、社会救助、户籍管理、不动产登记、法律服务等便民服务专门窗口，集中办理面向群众的行政审批和服务事项；负责进驻中心事项的公开公示，对进入中心的各窗口及其工作人员进行日常管理和监督；受理群众对窗口工作人员及便民服务工作的投诉举报；指导社区（村）便民服务站点日常工作开展。完成街道党工委、办事处及上级有关部门交办的其他任务。3、退役军人服务保障工作站，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完成街道党工委、办事处及上级有关部门交办的其他任务。</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朔城区北旺庄街道办事处是一级预算单位，从预算单位构成看，本单位部门决算包括：本级决算。</w:t>
      </w:r>
    </w:p>
    <w:p>
      <w:pPr>
        <w:spacing w:line="204" w:lineRule="auto"/>
        <w:ind w:firstLine="667"/>
        <w:jc w:val="left"/>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年度收入总计</w:t>
      </w:r>
      <w:r>
        <w:rPr>
          <w:rFonts w:hint="eastAsia" w:ascii="宋体" w:hAnsi="宋体" w:eastAsia="仿宋_GB2312" w:cs="Times New Roman"/>
          <w:sz w:val="32"/>
          <w:szCs w:val="32"/>
          <w:lang w:val="en-US" w:eastAsia="zh-CN"/>
        </w:rPr>
        <w:t>7436.18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7436.18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default" w:ascii="宋体" w:hAnsi="宋体" w:eastAsia="仿宋_GB2312" w:cs="Times New Roman"/>
          <w:sz w:val="32"/>
          <w:szCs w:val="32"/>
          <w:lang w:val="en-US"/>
        </w:rPr>
        <w:t>3761</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default" w:ascii="仿宋" w:hAnsi="仿宋" w:eastAsia="仿宋" w:cs="仿宋"/>
          <w:spacing w:val="2"/>
          <w:sz w:val="32"/>
          <w:szCs w:val="32"/>
          <w:lang w:val="en-US"/>
        </w:rPr>
        <w:t>3761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本年度减少保障性安居工程支出</w:t>
      </w:r>
      <w:r>
        <w:rPr>
          <w:rFonts w:hint="eastAsia" w:ascii="宋体" w:hAnsi="宋体" w:eastAsia="仿宋_GB2312" w:cs="Times New Roman"/>
          <w:sz w:val="32"/>
          <w:szCs w:val="32"/>
          <w:lang w:val="en-US"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万元，其中：基本支出</w:t>
      </w:r>
      <w:r>
        <w:rPr>
          <w:rFonts w:hint="eastAsia" w:ascii="仿宋" w:hAnsi="仿宋" w:eastAsia="仿宋" w:cs="仿宋"/>
          <w:sz w:val="32"/>
          <w:szCs w:val="32"/>
          <w:lang w:val="en-US" w:eastAsia="zh-CN"/>
        </w:rPr>
        <w:t>583.8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6852.38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万元、支出总计</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年相比，财政拨款收入总计减少</w:t>
      </w:r>
      <w:r>
        <w:rPr>
          <w:rFonts w:hint="default" w:ascii="宋体" w:hAnsi="宋体" w:eastAsia="仿宋_GB2312" w:cs="Times New Roman"/>
          <w:sz w:val="32"/>
          <w:szCs w:val="32"/>
          <w:lang w:val="en-US"/>
        </w:rPr>
        <w:t>3761</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33.59%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本年度减少保障性安居工程支</w:t>
      </w:r>
      <w:r>
        <w:rPr>
          <w:rFonts w:hint="eastAsia" w:ascii="宋体" w:hAnsi="宋体" w:eastAsia="仿宋_GB2312" w:cs="Times New Roman"/>
          <w:sz w:val="32"/>
          <w:szCs w:val="32"/>
          <w:lang w:val="en-US" w:eastAsia="zh-CN"/>
        </w:rPr>
        <w:t>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万元，与</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年相比，财政拨款支出减少</w:t>
      </w:r>
      <w:r>
        <w:rPr>
          <w:rFonts w:ascii="仿宋" w:hAnsi="仿宋" w:eastAsia="仿宋" w:cs="仿宋"/>
          <w:spacing w:val="-34"/>
          <w:sz w:val="32"/>
          <w:szCs w:val="32"/>
        </w:rPr>
        <w:t xml:space="preserve"> </w:t>
      </w:r>
      <w:r>
        <w:rPr>
          <w:rFonts w:hint="default" w:ascii="宋体" w:hAnsi="宋体" w:eastAsia="仿宋_GB2312" w:cs="Times New Roman"/>
          <w:sz w:val="32"/>
          <w:szCs w:val="32"/>
          <w:lang w:val="en-US"/>
        </w:rPr>
        <w:t>3761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本年度减少保障性安居工程支出</w:t>
      </w:r>
      <w:r>
        <w:rPr>
          <w:rFonts w:hint="eastAsia" w:ascii="宋体" w:hAnsi="宋体" w:eastAsia="仿宋_GB2312" w:cs="Times New Roman"/>
          <w:sz w:val="32"/>
          <w:szCs w:val="32"/>
          <w:lang w:val="en-US"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highlight w:val="none"/>
          <w:lang w:val="en-US" w:eastAsia="zh-CN"/>
        </w:rPr>
        <w:t>2010301行政运行科目支出</w:t>
      </w:r>
      <w:r>
        <w:rPr>
          <w:rFonts w:hint="default" w:ascii="宋体" w:hAnsi="宋体" w:eastAsia="仿宋_GB2312" w:cs="Times New Roman"/>
          <w:sz w:val="32"/>
          <w:szCs w:val="32"/>
          <w:highlight w:val="none"/>
          <w:lang w:val="en-US" w:eastAsia="zh-CN"/>
        </w:rPr>
        <w:t>2390.24</w:t>
      </w:r>
      <w:r>
        <w:rPr>
          <w:rFonts w:hint="eastAsia" w:ascii="宋体" w:hAnsi="宋体" w:eastAsia="仿宋_GB2312" w:cs="Times New Roman"/>
          <w:sz w:val="32"/>
          <w:szCs w:val="32"/>
          <w:highlight w:val="none"/>
          <w:lang w:val="en-US" w:eastAsia="zh-CN"/>
        </w:rPr>
        <w:t>万元，占</w:t>
      </w:r>
      <w:r>
        <w:rPr>
          <w:rFonts w:hint="default" w:ascii="宋体" w:hAnsi="宋体" w:eastAsia="仿宋_GB2312" w:cs="Times New Roman"/>
          <w:sz w:val="32"/>
          <w:szCs w:val="32"/>
          <w:highlight w:val="none"/>
          <w:lang w:val="en-US" w:eastAsia="zh-CN"/>
        </w:rPr>
        <w:t>32.14</w:t>
      </w:r>
      <w:r>
        <w:rPr>
          <w:rFonts w:hint="eastAsia" w:ascii="宋体" w:hAnsi="宋体" w:eastAsia="仿宋_GB2312" w:cs="Times New Roman"/>
          <w:sz w:val="32"/>
          <w:szCs w:val="32"/>
          <w:highlight w:val="none"/>
          <w:lang w:val="en-US" w:eastAsia="zh-CN"/>
        </w:rPr>
        <w:t>%；2010302一般行政管理事务项目支出</w:t>
      </w:r>
      <w:r>
        <w:rPr>
          <w:rFonts w:hint="default" w:ascii="宋体" w:hAnsi="宋体" w:eastAsia="仿宋_GB2312" w:cs="Times New Roman"/>
          <w:sz w:val="32"/>
          <w:szCs w:val="32"/>
          <w:highlight w:val="none"/>
          <w:lang w:val="en-US" w:eastAsia="zh-CN"/>
        </w:rPr>
        <w:t>309.19</w:t>
      </w:r>
      <w:r>
        <w:rPr>
          <w:rFonts w:hint="eastAsia" w:ascii="宋体" w:hAnsi="宋体" w:eastAsia="仿宋_GB2312" w:cs="Times New Roman"/>
          <w:sz w:val="32"/>
          <w:szCs w:val="32"/>
          <w:highlight w:val="none"/>
          <w:lang w:val="en-US" w:eastAsia="zh-CN"/>
        </w:rPr>
        <w:t>万元，占</w:t>
      </w:r>
      <w:r>
        <w:rPr>
          <w:rFonts w:hint="default" w:ascii="宋体" w:hAnsi="宋体" w:eastAsia="仿宋_GB2312" w:cs="Times New Roman"/>
          <w:sz w:val="32"/>
          <w:szCs w:val="32"/>
          <w:highlight w:val="none"/>
          <w:lang w:val="en-US" w:eastAsia="zh-CN"/>
        </w:rPr>
        <w:t>4.16</w:t>
      </w:r>
      <w:r>
        <w:rPr>
          <w:rFonts w:hint="eastAsia" w:ascii="宋体" w:hAnsi="宋体" w:eastAsia="仿宋_GB2312" w:cs="Times New Roman"/>
          <w:sz w:val="32"/>
          <w:szCs w:val="32"/>
          <w:highlight w:val="none"/>
          <w:lang w:val="en-US" w:eastAsia="zh-CN"/>
        </w:rPr>
        <w:t>%；</w:t>
      </w:r>
      <w:r>
        <w:rPr>
          <w:rFonts w:hint="default" w:ascii="宋体" w:hAnsi="宋体" w:eastAsia="仿宋_GB2312" w:cs="Times New Roman"/>
          <w:sz w:val="32"/>
          <w:szCs w:val="32"/>
          <w:highlight w:val="none"/>
          <w:lang w:val="en-US" w:eastAsia="zh-CN"/>
        </w:rPr>
        <w:t>2010308</w:t>
      </w:r>
      <w:r>
        <w:rPr>
          <w:rFonts w:hint="eastAsia" w:ascii="宋体" w:hAnsi="宋体" w:eastAsia="仿宋_GB2312" w:cs="Times New Roman"/>
          <w:sz w:val="32"/>
          <w:szCs w:val="32"/>
          <w:highlight w:val="none"/>
          <w:lang w:val="en-US" w:eastAsia="zh-CN"/>
        </w:rPr>
        <w:t>信访事务项目支出10万元，占0.134%；2040602一般行政管理事务项目支出0.6万元，占0.008%；2069999其他科学技术支出0.3万元，占0.004%；2070802一般行政管理事务项目支出0.89万元，占0.012%；2080801死亡抚恤项目支出19.81万元，占0.27%；2080802伤残抚恤项目支出7.39万元，占0.10%；2080803在乡复员军人生活补助项目支出69.24万元，占0.931%；2080805义务兵优待金项目支出165.4万元，占2.221%；2080806农村籍退役士兵老年生活补助项目支出21.86万元，占0.29%，2082102农村特困人员救助供养项目支出86.64万元，占1.17%，2082502其他农村生活救助项目支出1.43万元，占0.02%，2100302乡镇卫生院项目支出22.18万元，占0.30%；2100410突发公共卫生支出40万元，占0.54%；2110301大气项目支出417.31万元，占5.61%；2120102一般行政管理事务项目支出285.63万元，占3.84%；2120303小城镇基础设施建设项目支出9.93万元，占0.13%；2130199其他农村农业支出207.55万元，占2.80%，2130701对村级一事一议的补助项目支出55万元，占0.74%，2130705对村民委员会和村党支部的补助项目支出5.98万元，占0.08%，2130706对村集体经济组织的补助项目支出294万元，占3.95%，2210103棚户区改造项目支出1491.85万元，占20.06%；2210108老旧小区改造项目支出50万元，占0.67%；2210199其他保障性安居工程项目支出1473万元，占19.81%；2299999其他项目支出0.77万元，占0.01%。</w:t>
      </w:r>
    </w:p>
    <w:p>
      <w:pPr>
        <w:pStyle w:val="2"/>
      </w:pP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7436.18</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7436.18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583.80</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550.6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510.14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40.46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33.20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33.2万元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1.37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1.37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0万元，原因是</w:t>
      </w:r>
      <w:r>
        <w:rPr>
          <w:rFonts w:hint="eastAsia" w:ascii="宋体" w:hAnsi="宋体" w:eastAsia="仿宋_GB2312" w:cs="Times New Roman"/>
          <w:sz w:val="32"/>
          <w:szCs w:val="32"/>
          <w:lang w:eastAsia="zh-CN"/>
        </w:rPr>
        <w:t>三公经费执行只减不增；</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，原因是三公经费执行只减不增</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1.37</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highlight w:val="red"/>
        </w:rPr>
      </w:pPr>
      <w:r>
        <w:rPr>
          <w:rFonts w:hint="eastAsia" w:ascii="宋体" w:hAnsi="宋体" w:eastAsia="仿宋_GB2312" w:cs="Times New Roman"/>
          <w:color w:val="auto"/>
          <w:sz w:val="32"/>
          <w:szCs w:val="32"/>
          <w:highlight w:val="none"/>
        </w:rPr>
        <w:t>单位机关运行经费支出</w:t>
      </w:r>
      <w:r>
        <w:rPr>
          <w:rFonts w:hint="eastAsia" w:ascii="宋体" w:hAnsi="宋体" w:eastAsia="仿宋_GB2312" w:cs="Times New Roman"/>
          <w:color w:val="auto"/>
          <w:sz w:val="32"/>
          <w:szCs w:val="32"/>
          <w:highlight w:val="none"/>
          <w:lang w:val="en-US" w:eastAsia="zh-CN"/>
        </w:rPr>
        <w:t>33.2</w:t>
      </w:r>
      <w:r>
        <w:rPr>
          <w:rFonts w:hint="eastAsia" w:ascii="宋体" w:hAnsi="宋体" w:eastAsia="仿宋_GB2312" w:cs="Times New Roman"/>
          <w:color w:val="auto"/>
          <w:sz w:val="32"/>
          <w:szCs w:val="32"/>
          <w:highlight w:val="none"/>
        </w:rPr>
        <w:t>万元，比</w:t>
      </w:r>
      <w:r>
        <w:rPr>
          <w:rFonts w:hint="eastAsia" w:ascii="宋体" w:hAnsi="宋体" w:eastAsia="仿宋_GB2312" w:cs="Times New Roman"/>
          <w:color w:val="auto"/>
          <w:sz w:val="32"/>
          <w:szCs w:val="32"/>
          <w:highlight w:val="none"/>
          <w:lang w:eastAsia="zh-CN"/>
        </w:rPr>
        <w:t>2020</w:t>
      </w:r>
      <w:r>
        <w:rPr>
          <w:rFonts w:hint="eastAsia" w:ascii="宋体" w:hAnsi="宋体" w:eastAsia="仿宋_GB2312" w:cs="Times New Roman"/>
          <w:color w:val="auto"/>
          <w:sz w:val="32"/>
          <w:szCs w:val="32"/>
          <w:highlight w:val="none"/>
        </w:rPr>
        <w:t>年减少</w:t>
      </w:r>
      <w:r>
        <w:rPr>
          <w:rFonts w:hint="eastAsia" w:ascii="宋体" w:hAnsi="宋体" w:eastAsia="仿宋_GB2312" w:cs="Times New Roman"/>
          <w:color w:val="auto"/>
          <w:sz w:val="32"/>
          <w:szCs w:val="32"/>
          <w:highlight w:val="none"/>
          <w:lang w:val="en-US" w:eastAsia="zh-CN"/>
        </w:rPr>
        <w:t>476.24</w:t>
      </w:r>
      <w:r>
        <w:rPr>
          <w:rFonts w:hint="eastAsia" w:ascii="宋体" w:hAnsi="宋体" w:eastAsia="仿宋_GB2312" w:cs="Times New Roman"/>
          <w:color w:val="auto"/>
          <w:sz w:val="32"/>
          <w:szCs w:val="32"/>
          <w:highlight w:val="none"/>
        </w:rPr>
        <w:t>万元，降低</w:t>
      </w:r>
      <w:r>
        <w:rPr>
          <w:rFonts w:hint="eastAsia" w:ascii="宋体" w:hAnsi="宋体" w:eastAsia="仿宋_GB2312" w:cs="Times New Roman"/>
          <w:color w:val="auto"/>
          <w:sz w:val="32"/>
          <w:szCs w:val="32"/>
          <w:highlight w:val="none"/>
          <w:lang w:val="en-US" w:eastAsia="zh-CN"/>
        </w:rPr>
        <w:t>95.55</w:t>
      </w:r>
      <w:r>
        <w:rPr>
          <w:rFonts w:hint="eastAsia" w:ascii="宋体" w:hAnsi="宋体" w:eastAsia="仿宋_GB2312" w:cs="Times New Roman"/>
          <w:color w:val="auto"/>
          <w:sz w:val="32"/>
          <w:szCs w:val="32"/>
          <w:highlight w:val="none"/>
        </w:rPr>
        <w:t>%，主要原因是</w:t>
      </w:r>
      <w:r>
        <w:rPr>
          <w:rFonts w:hint="eastAsia" w:ascii="宋体" w:hAnsi="宋体" w:eastAsia="仿宋_GB2312" w:cs="Times New Roman"/>
          <w:color w:val="auto"/>
          <w:sz w:val="32"/>
          <w:szCs w:val="32"/>
          <w:highlight w:val="none"/>
          <w:lang w:val="en-US" w:eastAsia="zh-CN"/>
        </w:rPr>
        <w:t>移除了</w:t>
      </w:r>
      <w:r>
        <w:rPr>
          <w:rFonts w:hint="eastAsia" w:ascii="宋体" w:hAnsi="宋体" w:eastAsia="仿宋_GB2312" w:cs="Times New Roman"/>
          <w:sz w:val="32"/>
          <w:szCs w:val="32"/>
          <w:lang w:val="en-US" w:eastAsia="zh-CN"/>
        </w:rPr>
        <w:t>村级运转经费</w:t>
      </w:r>
      <w:r>
        <w:rPr>
          <w:rFonts w:hint="eastAsia" w:ascii="宋体" w:hAnsi="宋体" w:eastAsia="仿宋_GB2312" w:cs="Times New Roman"/>
          <w:sz w:val="32"/>
          <w:szCs w:val="32"/>
        </w:rPr>
        <w:t>。</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五</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3109.85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其中2100410突发公共卫生事件应急处理</w:t>
      </w:r>
      <w:r>
        <w:rPr>
          <w:rFonts w:hint="eastAsia" w:ascii="宋体" w:hAnsi="宋体" w:eastAsia="仿宋_GB2312" w:cs="Times New Roman"/>
          <w:sz w:val="32"/>
          <w:szCs w:val="32"/>
          <w:lang w:val="en-US" w:eastAsia="zh-CN"/>
        </w:rPr>
        <w:t>支出40万元，2130701对村级公益事业建设补助支出55万元，2210103棚户区改造工程1491.85万元，2210108老旧小区改造规划费用50万元，2210199其他保障性安居工程支出1473万元（其中照什八庄小康村老旧片区改造项目工程208万元、李家河小康村老旧片区改造项目工程265万元、北旺庄村老旧片区改造工程1000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深入</w:t>
      </w:r>
      <w:r>
        <w:rPr>
          <w:rFonts w:hint="eastAsia" w:ascii="宋体" w:hAnsi="宋体" w:eastAsia="仿宋_GB2312" w:cs="Times New Roman"/>
          <w:sz w:val="32"/>
          <w:szCs w:val="32"/>
        </w:rPr>
        <w:t>开展</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绩效</w:t>
      </w:r>
      <w:r>
        <w:rPr>
          <w:rFonts w:hint="eastAsia" w:ascii="宋体" w:hAnsi="宋体" w:eastAsia="仿宋_GB2312" w:cs="Times New Roman"/>
          <w:sz w:val="32"/>
          <w:szCs w:val="32"/>
          <w:lang w:eastAsia="zh-CN"/>
        </w:rPr>
        <w:t>评价</w:t>
      </w:r>
      <w:r>
        <w:rPr>
          <w:rFonts w:hint="eastAsia" w:ascii="宋体" w:hAnsi="宋体" w:eastAsia="仿宋_GB2312" w:cs="Times New Roman"/>
          <w:sz w:val="32"/>
          <w:szCs w:val="32"/>
        </w:rPr>
        <w:t>工作，</w:t>
      </w:r>
      <w:r>
        <w:rPr>
          <w:rFonts w:hint="eastAsia" w:ascii="宋体" w:hAnsi="宋体" w:eastAsia="仿宋_GB2312" w:cs="Times New Roman"/>
          <w:sz w:val="32"/>
          <w:szCs w:val="32"/>
          <w:lang w:eastAsia="zh-CN"/>
        </w:rPr>
        <w:t>进一步落实支出责任进一步扩展绩效评价管理模式，在重点绩效评价的基础上开展了</w:t>
      </w:r>
      <w:r>
        <w:rPr>
          <w:rFonts w:hint="eastAsia" w:ascii="宋体" w:hAnsi="宋体" w:eastAsia="仿宋_GB2312" w:cs="Times New Roman"/>
          <w:sz w:val="32"/>
          <w:szCs w:val="32"/>
        </w:rPr>
        <w:t>本部门</w:t>
      </w:r>
      <w:r>
        <w:rPr>
          <w:rFonts w:hint="eastAsia" w:ascii="宋体" w:hAnsi="宋体" w:eastAsia="仿宋_GB2312" w:cs="Times New Roman"/>
          <w:sz w:val="32"/>
          <w:szCs w:val="32"/>
          <w:lang w:eastAsia="zh-CN"/>
        </w:rPr>
        <w:t>整体支出绩效评价和专项资金政策评价试点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YTk4NDYwY2IyODA3Y2M1YjdiZGI3ZDZmNzc0YzcifQ=="/>
  </w:docVars>
  <w:rsids>
    <w:rsidRoot w:val="7E3F0B7D"/>
    <w:rsid w:val="000014A7"/>
    <w:rsid w:val="00052B5B"/>
    <w:rsid w:val="00774AFB"/>
    <w:rsid w:val="00E4217F"/>
    <w:rsid w:val="06B75683"/>
    <w:rsid w:val="0D5E3CF3"/>
    <w:rsid w:val="0E115DFD"/>
    <w:rsid w:val="0E9C71DD"/>
    <w:rsid w:val="11D27EAE"/>
    <w:rsid w:val="20D97C1B"/>
    <w:rsid w:val="23553F43"/>
    <w:rsid w:val="23CA3ACB"/>
    <w:rsid w:val="27E824C2"/>
    <w:rsid w:val="299664C8"/>
    <w:rsid w:val="344113B1"/>
    <w:rsid w:val="38902463"/>
    <w:rsid w:val="3AD7041F"/>
    <w:rsid w:val="3F28132A"/>
    <w:rsid w:val="41A5009B"/>
    <w:rsid w:val="49221B6F"/>
    <w:rsid w:val="60B30CE7"/>
    <w:rsid w:val="62430667"/>
    <w:rsid w:val="6316080A"/>
    <w:rsid w:val="6544153D"/>
    <w:rsid w:val="68CD37BD"/>
    <w:rsid w:val="6C940C35"/>
    <w:rsid w:val="7E3F0B7D"/>
    <w:rsid w:val="7FF2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4989</Words>
  <Characters>5624</Characters>
  <Lines>5</Lines>
  <Paragraphs>7</Paragraphs>
  <TotalTime>36</TotalTime>
  <ScaleCrop>false</ScaleCrop>
  <LinksUpToDate>false</LinksUpToDate>
  <CharactersWithSpaces>5658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2022-10-20T07:44:50Z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AEDAEB3F0BCB45EBA04FCFAA5C912E69</vt:lpwstr>
  </property>
</Properties>
</file>