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朔城区北城街道办事处</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宋体"/>
          <w:color w:val="000000"/>
          <w:kern w:val="0"/>
          <w:sz w:val="30"/>
          <w:szCs w:val="30"/>
        </w:rPr>
      </w:pPr>
      <w:r>
        <w:rPr>
          <w:rFonts w:hint="eastAsia" w:ascii="仿宋" w:hAnsi="仿宋" w:eastAsia="仿宋" w:cs="仿宋"/>
          <w:sz w:val="32"/>
          <w:szCs w:val="32"/>
        </w:rPr>
        <w:t>1、</w:t>
      </w:r>
      <w:r>
        <w:rPr>
          <w:rFonts w:hint="eastAsia" w:ascii="仿宋" w:hAnsi="仿宋" w:eastAsia="仿宋" w:cs="宋体"/>
          <w:color w:val="000000"/>
          <w:kern w:val="0"/>
          <w:sz w:val="30"/>
          <w:szCs w:val="30"/>
        </w:rPr>
        <w:t>坚决执行党的路线、方针、政策和国家的法律、法规。执行上级党委、政府的决定和命令以及人民代表大会的决议。贯彻落实区委、区政府的重大决策和重要工作部署。</w:t>
      </w:r>
    </w:p>
    <w:p>
      <w:pPr>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2、制定并组织实施本办事处社会和经济发展规划。预算和管理本行政区域内的经济、教育、科学、文化、卫生、体育事业以及财政、民政、公安、司法、计划生育等综合性工作。</w:t>
      </w:r>
    </w:p>
    <w:p>
      <w:pPr>
        <w:ind w:firstLine="600" w:firstLineChars="200"/>
        <w:rPr>
          <w:rFonts w:hint="eastAsia" w:ascii="仿宋" w:hAnsi="仿宋" w:eastAsia="仿宋"/>
          <w:sz w:val="30"/>
          <w:szCs w:val="30"/>
        </w:rPr>
      </w:pPr>
      <w:r>
        <w:rPr>
          <w:rFonts w:hint="eastAsia" w:ascii="仿宋" w:hAnsi="仿宋" w:eastAsia="仿宋" w:cs="宋体"/>
          <w:color w:val="000000"/>
          <w:kern w:val="0"/>
          <w:sz w:val="30"/>
          <w:szCs w:val="30"/>
        </w:rPr>
        <w:t>3、按计划组织本级财政收入，完成财政计划，管好财政资金，增强财政实力。</w:t>
      </w:r>
    </w:p>
    <w:p>
      <w:pPr>
        <w:ind w:firstLine="600" w:firstLineChars="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4、向本办党工委、人民代表大会报告工作。组织指导好各业生产和居委会、村委会的工作，抓好基层政权建设、乡村建设和精神文明建设，促进各项社会事业的健康发展。</w:t>
      </w:r>
    </w:p>
    <w:p>
      <w:pPr>
        <w:ind w:firstLine="600" w:firstLineChars="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5、保护社会公民所有的合法财产和劳动群众集体所有财产。维护一切经济单位和个人的正当合法经济权益。保障公民的人身权利、民主权利和其他权利。加强综合治理，处理好各种利益矛盾，维护社会稳定。</w:t>
      </w:r>
    </w:p>
    <w:p>
      <w:pPr>
        <w:ind w:firstLine="600" w:firstLineChars="200"/>
        <w:rPr>
          <w:rFonts w:ascii="仿宋" w:hAnsi="仿宋" w:eastAsia="仿宋" w:cs="仿宋"/>
          <w:sz w:val="32"/>
          <w:szCs w:val="32"/>
        </w:rPr>
      </w:pPr>
      <w:r>
        <w:rPr>
          <w:rFonts w:hint="eastAsia" w:ascii="仿宋" w:hAnsi="仿宋" w:eastAsia="仿宋" w:cs="宋体"/>
          <w:color w:val="000000"/>
          <w:kern w:val="0"/>
          <w:sz w:val="30"/>
          <w:szCs w:val="30"/>
        </w:rPr>
        <w:t>6、完成上级党委，政府下达的其他各项工作任务。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宋体" w:hAnsi="宋体" w:eastAsia="仿宋_GB2312" w:cs="Times New Roman"/>
          <w:sz w:val="32"/>
          <w:szCs w:val="32"/>
        </w:rPr>
      </w:pPr>
      <w:r>
        <w:rPr>
          <w:rFonts w:hint="eastAsia" w:ascii="仿宋_GB2312" w:hAnsi="仿宋_GB2312" w:eastAsia="仿宋_GB2312" w:cs="仿宋_GB2312"/>
          <w:color w:val="000000"/>
          <w:kern w:val="0"/>
          <w:sz w:val="32"/>
          <w:szCs w:val="32"/>
          <w:shd w:val="clear" w:color="auto" w:fill="FFFFFF"/>
          <w:lang w:bidi="ar"/>
        </w:rPr>
        <w:t>朔城区北城街道办事处是一级</w:t>
      </w:r>
      <w:r>
        <w:rPr>
          <w:rFonts w:hint="eastAsia" w:ascii="仿宋_GB2312" w:hAnsi="仿宋_GB2312" w:eastAsia="仿宋_GB2312" w:cs="仿宋_GB2312"/>
          <w:color w:val="000000"/>
          <w:kern w:val="0"/>
          <w:sz w:val="32"/>
          <w:szCs w:val="32"/>
          <w:shd w:val="clear" w:color="auto" w:fill="FFFFFF"/>
          <w:lang w:eastAsia="zh-CN" w:bidi="ar"/>
        </w:rPr>
        <w:t>决</w:t>
      </w:r>
      <w:r>
        <w:rPr>
          <w:rFonts w:hint="eastAsia" w:ascii="仿宋_GB2312" w:hAnsi="仿宋_GB2312" w:eastAsia="仿宋_GB2312" w:cs="仿宋_GB2312"/>
          <w:color w:val="000000"/>
          <w:kern w:val="0"/>
          <w:sz w:val="32"/>
          <w:szCs w:val="32"/>
          <w:shd w:val="clear" w:color="auto" w:fill="FFFFFF"/>
          <w:lang w:bidi="ar"/>
        </w:rPr>
        <w:t>算单位，下辖2个村民委员会</w:t>
      </w:r>
      <w:r>
        <w:rPr>
          <w:rFonts w:hint="eastAsia" w:ascii="宋体" w:hAnsi="宋体" w:eastAsia="仿宋_GB2312" w:cs="Times New Roman"/>
          <w:sz w:val="32"/>
          <w:szCs w:val="32"/>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4898.41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4898.41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1730.87</w:t>
      </w:r>
      <w:r>
        <w:rPr>
          <w:rFonts w:hint="eastAsia" w:ascii="宋体" w:hAnsi="宋体" w:eastAsia="仿宋_GB2312" w:cs="Times New Roman"/>
          <w:sz w:val="32"/>
          <w:szCs w:val="32"/>
        </w:rPr>
        <w:t>万元，支出总计增加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1730.87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2021年增加</w:t>
      </w:r>
      <w:r>
        <w:rPr>
          <w:rFonts w:hint="eastAsia" w:ascii="宋体" w:hAnsi="宋体" w:eastAsia="仿宋_GB2312" w:cs="Times New Roman"/>
          <w:sz w:val="32"/>
          <w:szCs w:val="32"/>
          <w:highlight w:val="none"/>
          <w:lang w:eastAsia="zh-CN"/>
        </w:rPr>
        <w:t>本年度增加住房性保障项目老旧小区改造支出</w:t>
      </w:r>
      <w:r>
        <w:rPr>
          <w:rFonts w:hint="eastAsia" w:ascii="宋体" w:hAnsi="宋体" w:eastAsia="仿宋_GB2312" w:cs="Times New Roman"/>
          <w:sz w:val="32"/>
          <w:szCs w:val="32"/>
          <w:lang w:val="en-US"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hint="default" w:ascii="仿宋" w:hAnsi="仿宋" w:eastAsia="仿宋_GB2312" w:cs="仿宋"/>
          <w:spacing w:val="-4"/>
          <w:sz w:val="32"/>
          <w:szCs w:val="32"/>
          <w:lang w:val="en-US" w:eastAsia="zh-CN"/>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4898.41</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4898.41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上级补助</w:t>
      </w:r>
      <w:r>
        <w:rPr>
          <w:rFonts w:hint="eastAsia" w:ascii="宋体" w:hAnsi="宋体" w:eastAsia="仿宋_GB2312" w:cs="Times New Roman"/>
          <w:sz w:val="32"/>
          <w:szCs w:val="32"/>
        </w:rPr>
        <w:t>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；事业收入</w:t>
      </w:r>
      <w:r>
        <w:rPr>
          <w:rFonts w:hint="eastAsia" w:ascii="宋体" w:hAnsi="宋体" w:eastAsia="仿宋_GB2312" w:cs="Times New Roman"/>
          <w:sz w:val="32"/>
          <w:szCs w:val="32"/>
          <w:lang w:val="en-US" w:eastAsia="zh-CN"/>
        </w:rPr>
        <w:t>0万元；经营收入0万元；附属单位上缴收入0万元；其他收入0万元。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4898.41</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509.65</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4388.76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lang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4898.41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4898.41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1730.87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54%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本年度增加住房性保障项目老旧小区改造收入。</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4898.41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1730.87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本年度增加住房性保障项目老旧小区改造支出。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4898.41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2010301</w:t>
      </w:r>
      <w:r>
        <w:rPr>
          <w:rFonts w:hint="eastAsia" w:ascii="宋体" w:hAnsi="宋体" w:eastAsia="仿宋_GB2312" w:cs="Times New Roman"/>
          <w:sz w:val="32"/>
          <w:szCs w:val="32"/>
        </w:rPr>
        <w:t>行政运行支出</w:t>
      </w:r>
      <w:r>
        <w:rPr>
          <w:rFonts w:hint="eastAsia" w:ascii="宋体" w:hAnsi="宋体" w:eastAsia="仿宋_GB2312" w:cs="Times New Roman"/>
          <w:sz w:val="32"/>
          <w:szCs w:val="32"/>
          <w:lang w:val="en-US" w:eastAsia="zh-CN"/>
        </w:rPr>
        <w:t>1418.88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28.97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2010302</w:t>
      </w:r>
      <w:r>
        <w:rPr>
          <w:rFonts w:hint="eastAsia" w:ascii="宋体" w:hAnsi="宋体" w:eastAsia="仿宋_GB2312" w:cs="Times New Roman"/>
          <w:sz w:val="32"/>
          <w:szCs w:val="32"/>
        </w:rPr>
        <w:t>一般行政管理事务支出</w:t>
      </w:r>
      <w:r>
        <w:rPr>
          <w:rFonts w:hint="eastAsia" w:ascii="宋体" w:hAnsi="宋体" w:eastAsia="仿宋_GB2312" w:cs="Times New Roman"/>
          <w:sz w:val="32"/>
          <w:szCs w:val="32"/>
          <w:lang w:val="en-US" w:eastAsia="zh-CN"/>
        </w:rPr>
        <w:t>307.87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6.29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2010308</w:t>
      </w:r>
      <w:r>
        <w:rPr>
          <w:rFonts w:hint="eastAsia" w:ascii="宋体" w:hAnsi="宋体" w:eastAsia="仿宋_GB2312" w:cs="Times New Roman"/>
          <w:sz w:val="32"/>
          <w:szCs w:val="32"/>
          <w:lang w:eastAsia="zh-CN"/>
        </w:rPr>
        <w:t>信访事务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0.13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死亡抚恤支出</w:t>
      </w:r>
      <w:r>
        <w:rPr>
          <w:rFonts w:hint="eastAsia" w:ascii="宋体" w:hAnsi="宋体" w:eastAsia="仿宋_GB2312" w:cs="Times New Roman"/>
          <w:sz w:val="32"/>
          <w:szCs w:val="32"/>
          <w:lang w:val="en-US" w:eastAsia="zh-CN"/>
        </w:rPr>
        <w:t>18.04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0.37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2080802</w:t>
      </w:r>
      <w:r>
        <w:rPr>
          <w:rFonts w:hint="eastAsia" w:ascii="宋体" w:hAnsi="宋体" w:eastAsia="仿宋_GB2312" w:cs="Times New Roman"/>
          <w:sz w:val="32"/>
          <w:szCs w:val="32"/>
          <w:lang w:eastAsia="zh-CN"/>
        </w:rPr>
        <w:t>伤残抚恤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54.54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2080803</w:t>
      </w:r>
      <w:r>
        <w:rPr>
          <w:rFonts w:hint="eastAsia" w:ascii="宋体" w:hAnsi="宋体" w:eastAsia="仿宋_GB2312" w:cs="Times New Roman"/>
          <w:sz w:val="32"/>
          <w:szCs w:val="32"/>
        </w:rPr>
        <w:t>在乡复员、退伍军人生活补助支出</w:t>
      </w:r>
      <w:r>
        <w:rPr>
          <w:rFonts w:hint="eastAsia" w:ascii="宋体" w:hAnsi="宋体" w:eastAsia="仿宋_GB2312" w:cs="Times New Roman"/>
          <w:sz w:val="32"/>
          <w:szCs w:val="32"/>
          <w:lang w:val="en-US" w:eastAsia="zh-CN"/>
        </w:rPr>
        <w:t>14.07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0.29</w:t>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2080805</w:t>
      </w:r>
      <w:r>
        <w:rPr>
          <w:rFonts w:hint="eastAsia" w:ascii="宋体" w:hAnsi="宋体" w:eastAsia="仿宋_GB2312" w:cs="Times New Roman"/>
          <w:sz w:val="32"/>
          <w:szCs w:val="32"/>
        </w:rPr>
        <w:t>义务兵优待支出</w:t>
      </w:r>
      <w:r>
        <w:rPr>
          <w:rFonts w:hint="eastAsia" w:ascii="宋体" w:hAnsi="宋体" w:eastAsia="仿宋_GB2312" w:cs="Times New Roman"/>
          <w:sz w:val="32"/>
          <w:szCs w:val="32"/>
          <w:lang w:val="en-US" w:eastAsia="zh-CN"/>
        </w:rPr>
        <w:t>146.1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2.98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2080806</w:t>
      </w:r>
      <w:r>
        <w:rPr>
          <w:rFonts w:hint="eastAsia" w:ascii="宋体" w:hAnsi="宋体" w:eastAsia="仿宋_GB2312" w:cs="Times New Roman"/>
          <w:sz w:val="32"/>
          <w:szCs w:val="32"/>
        </w:rPr>
        <w:t>农村籍退役士兵老年生活补助支出</w:t>
      </w:r>
      <w:r>
        <w:rPr>
          <w:rFonts w:hint="eastAsia" w:ascii="宋体" w:hAnsi="宋体" w:eastAsia="仿宋_GB2312" w:cs="Times New Roman"/>
          <w:sz w:val="32"/>
          <w:szCs w:val="32"/>
          <w:lang w:val="en-US" w:eastAsia="zh-CN"/>
        </w:rPr>
        <w:t>6.43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0.13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2100302</w:t>
      </w:r>
      <w:r>
        <w:rPr>
          <w:rFonts w:hint="eastAsia" w:ascii="宋体" w:hAnsi="宋体" w:eastAsia="仿宋_GB2312" w:cs="Times New Roman"/>
          <w:sz w:val="32"/>
          <w:szCs w:val="32"/>
        </w:rPr>
        <w:t>乡镇卫生院支出</w:t>
      </w:r>
      <w:r>
        <w:rPr>
          <w:rFonts w:hint="eastAsia" w:ascii="宋体" w:hAnsi="宋体" w:eastAsia="仿宋_GB2312" w:cs="Times New Roman"/>
          <w:sz w:val="32"/>
          <w:szCs w:val="32"/>
          <w:lang w:val="en-US" w:eastAsia="zh-CN"/>
        </w:rPr>
        <w:t>15.34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0.31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2100410</w:t>
      </w:r>
      <w:r>
        <w:rPr>
          <w:rFonts w:hint="eastAsia" w:ascii="宋体" w:hAnsi="宋体" w:eastAsia="仿宋_GB2312" w:cs="Times New Roman"/>
          <w:sz w:val="32"/>
          <w:szCs w:val="32"/>
        </w:rPr>
        <w:t>突发公共卫生事件应急处理支出</w:t>
      </w:r>
      <w:r>
        <w:rPr>
          <w:rFonts w:hint="eastAsia" w:ascii="宋体" w:hAnsi="宋体" w:eastAsia="仿宋_GB2312" w:cs="Times New Roman"/>
          <w:sz w:val="32"/>
          <w:szCs w:val="32"/>
          <w:lang w:val="en-US" w:eastAsia="zh-CN"/>
        </w:rPr>
        <w:t>40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0.82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2110301</w:t>
      </w:r>
      <w:r>
        <w:rPr>
          <w:rFonts w:hint="eastAsia" w:ascii="宋体" w:hAnsi="宋体" w:eastAsia="仿宋_GB2312" w:cs="Times New Roman"/>
          <w:sz w:val="32"/>
          <w:szCs w:val="32"/>
          <w:lang w:eastAsia="zh-CN"/>
        </w:rPr>
        <w:t>大气污染防治支出</w:t>
      </w:r>
      <w:r>
        <w:rPr>
          <w:rFonts w:hint="eastAsia" w:ascii="宋体" w:hAnsi="宋体" w:eastAsia="仿宋_GB2312" w:cs="Times New Roman"/>
          <w:sz w:val="32"/>
          <w:szCs w:val="32"/>
          <w:lang w:val="en-US" w:eastAsia="zh-CN"/>
        </w:rPr>
        <w:t>100.56万元，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2.05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2120102</w:t>
      </w:r>
      <w:r>
        <w:rPr>
          <w:rFonts w:hint="eastAsia" w:ascii="宋体" w:hAnsi="宋体" w:eastAsia="仿宋_GB2312" w:cs="Times New Roman"/>
          <w:sz w:val="32"/>
          <w:szCs w:val="32"/>
        </w:rPr>
        <w:t>一般行政管理事务支出</w:t>
      </w:r>
      <w:r>
        <w:rPr>
          <w:rFonts w:hint="eastAsia" w:ascii="宋体" w:hAnsi="宋体" w:eastAsia="仿宋_GB2312" w:cs="Times New Roman"/>
          <w:sz w:val="32"/>
          <w:szCs w:val="32"/>
          <w:lang w:val="en-US" w:eastAsia="zh-CN"/>
        </w:rPr>
        <w:t>190.77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3.89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2120501</w:t>
      </w:r>
      <w:r>
        <w:rPr>
          <w:rFonts w:hint="eastAsia" w:ascii="宋体" w:hAnsi="宋体" w:eastAsia="仿宋_GB2312" w:cs="Times New Roman"/>
          <w:sz w:val="32"/>
          <w:szCs w:val="32"/>
          <w:lang w:eastAsia="zh-CN"/>
        </w:rPr>
        <w:t>城乡社区环境卫生</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114.56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2.34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2120899</w:t>
      </w:r>
      <w:r>
        <w:rPr>
          <w:rFonts w:hint="eastAsia" w:ascii="宋体" w:hAnsi="宋体" w:eastAsia="仿宋_GB2312" w:cs="Times New Roman"/>
          <w:sz w:val="32"/>
          <w:szCs w:val="32"/>
          <w:lang w:eastAsia="zh-CN"/>
        </w:rPr>
        <w:t>其他国有土地使用权出让收入安排的支出</w:t>
      </w:r>
      <w:r>
        <w:rPr>
          <w:rFonts w:hint="eastAsia" w:ascii="宋体" w:hAnsi="宋体" w:eastAsia="仿宋_GB2312" w:cs="Times New Roman"/>
          <w:sz w:val="32"/>
          <w:szCs w:val="32"/>
          <w:lang w:val="en-US" w:eastAsia="zh-CN"/>
        </w:rPr>
        <w:t>376.87</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7.69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2129999</w:t>
      </w:r>
      <w:r>
        <w:rPr>
          <w:rFonts w:hint="eastAsia" w:ascii="宋体" w:hAnsi="宋体" w:eastAsia="仿宋_GB2312" w:cs="Times New Roman"/>
          <w:sz w:val="32"/>
          <w:szCs w:val="32"/>
        </w:rPr>
        <w:t>其他</w:t>
      </w:r>
      <w:r>
        <w:rPr>
          <w:rFonts w:hint="eastAsia" w:ascii="宋体" w:hAnsi="宋体" w:eastAsia="仿宋_GB2312" w:cs="Times New Roman"/>
          <w:sz w:val="32"/>
          <w:szCs w:val="32"/>
          <w:lang w:eastAsia="zh-CN"/>
        </w:rPr>
        <w:t>城乡社区</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48.99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2130706</w:t>
      </w:r>
      <w:r>
        <w:rPr>
          <w:rFonts w:hint="eastAsia" w:ascii="宋体" w:hAnsi="宋体" w:eastAsia="仿宋_GB2312" w:cs="Times New Roman"/>
          <w:sz w:val="32"/>
          <w:szCs w:val="32"/>
        </w:rPr>
        <w:t>对村集体经济组织的补助支出</w:t>
      </w:r>
      <w:r>
        <w:rPr>
          <w:rFonts w:hint="eastAsia" w:ascii="宋体" w:hAnsi="宋体" w:eastAsia="仿宋_GB2312" w:cs="Times New Roman"/>
          <w:sz w:val="32"/>
          <w:szCs w:val="32"/>
          <w:lang w:val="en-US" w:eastAsia="zh-CN"/>
        </w:rPr>
        <w:t>28.5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0.58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2210108</w:t>
      </w:r>
      <w:r>
        <w:rPr>
          <w:rFonts w:hint="eastAsia" w:ascii="宋体" w:hAnsi="宋体" w:eastAsia="仿宋_GB2312" w:cs="Times New Roman"/>
          <w:sz w:val="32"/>
          <w:szCs w:val="32"/>
          <w:lang w:eastAsia="zh-CN"/>
        </w:rPr>
        <w:t>老旧小区改造支出</w:t>
      </w:r>
      <w:r>
        <w:rPr>
          <w:rFonts w:hint="eastAsia" w:ascii="宋体" w:hAnsi="宋体" w:eastAsia="仿宋_GB2312" w:cs="Times New Roman"/>
          <w:sz w:val="32"/>
          <w:szCs w:val="32"/>
          <w:lang w:val="en-US" w:eastAsia="zh-CN"/>
        </w:rPr>
        <w:t>1511万元，占30.85%；2210199</w:t>
      </w:r>
      <w:r>
        <w:rPr>
          <w:rFonts w:hint="eastAsia" w:ascii="宋体" w:hAnsi="宋体" w:eastAsia="仿宋_GB2312" w:cs="Times New Roman"/>
          <w:sz w:val="32"/>
          <w:szCs w:val="32"/>
          <w:lang w:eastAsia="zh-CN"/>
        </w:rPr>
        <w:t>其他保障性安居工程</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500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10.21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4521.54</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4521.54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509.64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487.31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481.03</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和对个人和家庭补助支出6.28万元；公用经费22.33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，主要用于商品和服务支出</w:t>
      </w:r>
      <w:r>
        <w:rPr>
          <w:rFonts w:hint="eastAsia" w:ascii="宋体" w:hAnsi="宋体" w:eastAsia="仿宋_GB2312" w:cs="Times New Roman"/>
          <w:sz w:val="32"/>
          <w:szCs w:val="32"/>
          <w:lang w:val="en-US" w:eastAsia="zh-CN"/>
        </w:rPr>
        <w:t>22.33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autoSpaceDN w:val="0"/>
        <w:spacing w:line="570" w:lineRule="exact"/>
        <w:ind w:firstLine="800" w:firstLineChars="250"/>
        <w:textAlignment w:val="center"/>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1.37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1.37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仿宋_GB2312" w:hAnsi="宋体" w:eastAsia="仿宋_GB2312"/>
          <w:bCs/>
          <w:color w:val="000000"/>
          <w:sz w:val="32"/>
          <w:szCs w:val="32"/>
        </w:rPr>
        <w:t>上一年度“三公”经费相比持平</w:t>
      </w:r>
      <w:r>
        <w:rPr>
          <w:rFonts w:hint="eastAsia" w:ascii="仿宋_GB2312" w:hAnsi="宋体" w:eastAsia="仿宋_GB2312"/>
          <w:bCs/>
          <w:color w:val="000000"/>
          <w:sz w:val="32"/>
          <w:szCs w:val="32"/>
          <w:lang w:eastAsia="zh-CN"/>
        </w:rPr>
        <w:t>，</w:t>
      </w:r>
      <w:r>
        <w:rPr>
          <w:rFonts w:hint="eastAsia" w:ascii="仿宋_GB2312" w:hAnsi="仿宋_GB2312" w:eastAsia="仿宋_GB2312" w:cs="仿宋_GB2312"/>
          <w:bCs/>
          <w:color w:val="000000"/>
          <w:sz w:val="32"/>
          <w:szCs w:val="32"/>
        </w:rPr>
        <w:t>主要原因在于从严控制招待费支出，压缩接待费开支，严按接待标准。</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376.87</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376.87</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城乡社区支出</w:t>
      </w:r>
      <w:r>
        <w:rPr>
          <w:rFonts w:hint="eastAsia" w:ascii="宋体" w:hAnsi="宋体" w:eastAsia="仿宋_GB2312" w:cs="Times New Roman"/>
          <w:sz w:val="32"/>
          <w:szCs w:val="32"/>
        </w:rPr>
        <w:t>科目(类)国有土地使用权出让收入安排的支出科目(款)其他国有土地使用权出让收入安排的支出科目(项)财政拨款支出</w:t>
      </w:r>
      <w:r>
        <w:rPr>
          <w:rFonts w:hint="eastAsia" w:ascii="宋体" w:hAnsi="宋体" w:eastAsia="仿宋_GB2312" w:cs="Times New Roman"/>
          <w:sz w:val="32"/>
          <w:szCs w:val="32"/>
          <w:lang w:val="en-US" w:eastAsia="zh-CN"/>
        </w:rPr>
        <w:t>376.87</w:t>
      </w:r>
      <w:r>
        <w:rPr>
          <w:rFonts w:hint="eastAsia" w:ascii="宋体" w:hAnsi="宋体" w:eastAsia="仿宋_GB2312" w:cs="Times New Roman"/>
          <w:sz w:val="32"/>
          <w:szCs w:val="32"/>
        </w:rPr>
        <w:t>万元，主要是用于</w:t>
      </w:r>
      <w:r>
        <w:rPr>
          <w:rFonts w:hint="eastAsia" w:ascii="宋体" w:hAnsi="宋体" w:eastAsia="仿宋_GB2312" w:cs="Times New Roman"/>
          <w:sz w:val="32"/>
          <w:szCs w:val="32"/>
          <w:lang w:eastAsia="zh-CN"/>
        </w:rPr>
        <w:t>老旧片区小区改造</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22.33</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1.58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6.6</w:t>
      </w:r>
      <w:r>
        <w:rPr>
          <w:rFonts w:hint="eastAsia" w:ascii="宋体" w:hAnsi="宋体" w:eastAsia="仿宋_GB2312" w:cs="Times New Roman"/>
          <w:sz w:val="32"/>
          <w:szCs w:val="32"/>
        </w:rPr>
        <w:t>%，主要原因</w:t>
      </w:r>
      <w:r>
        <w:rPr>
          <w:rFonts w:hint="eastAsia" w:ascii="宋体" w:hAnsi="宋体" w:eastAsia="仿宋_GB2312" w:cs="Times New Roman"/>
          <w:sz w:val="32"/>
          <w:szCs w:val="32"/>
          <w:lang w:eastAsia="zh-CN"/>
        </w:rPr>
        <w:t>是</w:t>
      </w:r>
      <w:r>
        <w:rPr>
          <w:rFonts w:hint="eastAsia" w:ascii="仿宋_GB2312" w:hAnsi="宋体" w:eastAsia="仿宋_GB2312"/>
          <w:bCs/>
          <w:color w:val="000000"/>
          <w:sz w:val="32"/>
          <w:szCs w:val="32"/>
          <w:lang w:val="en-US" w:eastAsia="zh-CN"/>
        </w:rPr>
        <w:t>办公经费减少</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万元，其中：政府采购货物</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万元。无政府采购的部门，须说明本部门无政府采购业务支出情况。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仿宋_GB2312" w:hAnsi="宋体" w:eastAsia="仿宋_GB2312"/>
          <w:bCs/>
          <w:color w:val="000000"/>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hint="eastAsia" w:ascii="宋体" w:hAnsi="宋体" w:eastAsia="仿宋_GB2312" w:cs="Times New Roman"/>
          <w:color w:val="auto"/>
          <w:sz w:val="32"/>
          <w:szCs w:val="32"/>
          <w:lang w:eastAsia="zh-CN"/>
        </w:rPr>
      </w:pPr>
      <w:r>
        <w:rPr>
          <w:rFonts w:hint="eastAsia" w:ascii="宋体" w:hAnsi="宋体" w:eastAsia="仿宋_GB2312" w:cs="Times New Roman"/>
          <w:color w:val="auto"/>
          <w:sz w:val="32"/>
          <w:szCs w:val="32"/>
        </w:rPr>
        <w:t>(1)</w:t>
      </w:r>
      <w:r>
        <w:rPr>
          <w:rFonts w:hint="eastAsia" w:ascii="宋体" w:hAnsi="宋体" w:eastAsia="仿宋_GB2312" w:cs="Times New Roman"/>
          <w:color w:val="auto"/>
          <w:sz w:val="32"/>
          <w:szCs w:val="32"/>
          <w:lang w:eastAsia="zh-CN"/>
        </w:rPr>
        <w:t>我单位按照财政预算管理要求，开展了绩效评价：</w:t>
      </w:r>
    </w:p>
    <w:p>
      <w:pPr>
        <w:rPr>
          <w:rFonts w:hint="eastAsia" w:ascii="宋体" w:hAnsi="宋体" w:eastAsia="仿宋_GB2312" w:cs="Times New Roman"/>
          <w:color w:val="auto"/>
          <w:sz w:val="32"/>
          <w:szCs w:val="32"/>
          <w:lang w:eastAsia="zh-CN"/>
        </w:rPr>
      </w:pPr>
      <w:r>
        <w:rPr>
          <w:rFonts w:hint="eastAsia" w:ascii="宋体" w:hAnsi="宋体" w:eastAsia="仿宋_GB2312" w:cs="Times New Roman"/>
          <w:color w:val="auto"/>
          <w:sz w:val="32"/>
          <w:szCs w:val="32"/>
          <w:lang w:eastAsia="zh-CN"/>
        </w:rPr>
        <w:t>2021</w:t>
      </w:r>
      <w:r>
        <w:rPr>
          <w:rFonts w:hint="eastAsia" w:ascii="宋体" w:hAnsi="宋体" w:eastAsia="仿宋_GB2312" w:cs="Times New Roman"/>
          <w:color w:val="auto"/>
          <w:sz w:val="32"/>
          <w:szCs w:val="32"/>
        </w:rPr>
        <w:t>年度</w:t>
      </w:r>
      <w:r>
        <w:rPr>
          <w:rFonts w:hint="eastAsia" w:ascii="宋体" w:hAnsi="宋体" w:eastAsia="仿宋_GB2312" w:cs="Times New Roman"/>
          <w:color w:val="auto"/>
          <w:sz w:val="32"/>
          <w:szCs w:val="32"/>
          <w:lang w:eastAsia="zh-CN"/>
        </w:rPr>
        <w:t>我</w:t>
      </w:r>
      <w:r>
        <w:rPr>
          <w:rFonts w:hint="eastAsia" w:ascii="宋体" w:hAnsi="宋体" w:eastAsia="仿宋_GB2312" w:cs="Times New Roman"/>
          <w:color w:val="auto"/>
          <w:sz w:val="32"/>
          <w:szCs w:val="32"/>
        </w:rPr>
        <w:t>单位实行绩效目标管理的项目</w:t>
      </w:r>
      <w:r>
        <w:rPr>
          <w:rFonts w:hint="eastAsia" w:ascii="宋体" w:hAnsi="宋体" w:eastAsia="仿宋_GB2312" w:cs="Times New Roman"/>
          <w:color w:val="auto"/>
          <w:sz w:val="32"/>
          <w:szCs w:val="32"/>
          <w:lang w:val="en-US" w:eastAsia="zh-CN"/>
        </w:rPr>
        <w:t>4</w:t>
      </w:r>
      <w:r>
        <w:rPr>
          <w:rFonts w:hint="eastAsia" w:ascii="宋体" w:hAnsi="宋体" w:eastAsia="仿宋_GB2312" w:cs="Times New Roman"/>
          <w:color w:val="auto"/>
          <w:sz w:val="32"/>
          <w:szCs w:val="32"/>
        </w:rPr>
        <w:t>个，</w:t>
      </w:r>
      <w:r>
        <w:rPr>
          <w:rFonts w:hint="eastAsia" w:ascii="宋体" w:hAnsi="宋体" w:eastAsia="仿宋_GB2312" w:cs="Times New Roman"/>
          <w:color w:val="auto"/>
          <w:sz w:val="32"/>
          <w:szCs w:val="32"/>
          <w:lang w:eastAsia="zh-CN"/>
        </w:rPr>
        <w:t>其中：</w:t>
      </w:r>
    </w:p>
    <w:p>
      <w:pPr>
        <w:ind w:firstLine="640" w:firstLineChars="200"/>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eastAsia="zh-CN"/>
        </w:rPr>
        <w:t>一般公共服务支出</w:t>
      </w:r>
      <w:r>
        <w:rPr>
          <w:rFonts w:hint="eastAsia" w:ascii="宋体" w:hAnsi="宋体" w:eastAsia="仿宋_GB2312" w:cs="Times New Roman"/>
          <w:color w:val="auto"/>
          <w:sz w:val="32"/>
          <w:szCs w:val="32"/>
          <w:lang w:val="en-US" w:eastAsia="zh-CN"/>
        </w:rPr>
        <w:t>1个，支出999.55万元，包括北城街道办西兴街老旧片区改造999.55万元。</w:t>
      </w:r>
    </w:p>
    <w:p>
      <w:pPr>
        <w:pStyle w:val="2"/>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城乡社区支出项目3个，涉及金额540.41万元，包括：市政府小区路面改造款114.56万元。东兴街拆违拆临款48.99万元，敬德片区改造尾款376.86万元。</w:t>
      </w:r>
    </w:p>
    <w:p>
      <w:pPr>
        <w:rPr>
          <w:rFonts w:ascii="宋体" w:hAnsi="宋体" w:eastAsia="仿宋_GB2312" w:cs="Times New Roman"/>
          <w:color w:val="auto"/>
          <w:sz w:val="32"/>
          <w:szCs w:val="32"/>
        </w:rPr>
      </w:pPr>
      <w:r>
        <w:rPr>
          <w:rFonts w:hint="eastAsia" w:ascii="宋体" w:hAnsi="宋体" w:eastAsia="仿宋_GB2312" w:cs="Times New Roman"/>
          <w:color w:val="auto"/>
          <w:sz w:val="32"/>
          <w:szCs w:val="32"/>
        </w:rPr>
        <w:t>(2)绩效评价工作取得的成效。</w:t>
      </w:r>
    </w:p>
    <w:p>
      <w:pPr>
        <w:autoSpaceDN w:val="0"/>
        <w:spacing w:line="360" w:lineRule="auto"/>
        <w:ind w:firstLine="480" w:firstLineChars="150"/>
        <w:textAlignment w:val="center"/>
        <w:rPr>
          <w:rFonts w:ascii="仿宋_GB2312" w:hAnsi="仿宋_GB2312" w:eastAsia="仿宋_GB2312" w:cs="仿宋_GB2312"/>
          <w:color w:val="000000"/>
          <w:kern w:val="0"/>
          <w:sz w:val="31"/>
          <w:szCs w:val="31"/>
        </w:rPr>
      </w:pPr>
      <w:r>
        <w:rPr>
          <w:rFonts w:hint="eastAsia" w:ascii="仿宋" w:hAnsi="仿宋" w:eastAsia="仿宋"/>
          <w:bCs/>
          <w:color w:val="000000"/>
          <w:kern w:val="32"/>
          <w:sz w:val="32"/>
          <w:szCs w:val="32"/>
        </w:rPr>
        <w:t>深入开展预算</w:t>
      </w:r>
      <w:r>
        <w:rPr>
          <w:rFonts w:hint="eastAsia" w:ascii="宋体" w:hAnsi="宋体" w:eastAsia="仿宋_GB2312" w:cs="Times New Roman"/>
          <w:sz w:val="32"/>
          <w:szCs w:val="32"/>
        </w:rPr>
        <w:t>绩效评价工作</w:t>
      </w:r>
      <w:r>
        <w:rPr>
          <w:rFonts w:hint="eastAsia" w:ascii="仿宋" w:hAnsi="仿宋" w:eastAsia="仿宋"/>
          <w:bCs/>
          <w:color w:val="000000"/>
          <w:kern w:val="32"/>
          <w:sz w:val="32"/>
          <w:szCs w:val="32"/>
        </w:rPr>
        <w:t>，进一步落实支出责任。进一步拓展绩效评价管理模式，在重点项目绩效评价的基础上，开展了部门整体支出绩效评价和专项资金政策评价试点。</w:t>
      </w:r>
    </w:p>
    <w:p>
      <w:pPr>
        <w:pStyle w:val="2"/>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70D1623"/>
    <w:rsid w:val="0E115DFD"/>
    <w:rsid w:val="0FC03AD0"/>
    <w:rsid w:val="109D208A"/>
    <w:rsid w:val="11D27EAE"/>
    <w:rsid w:val="161431EB"/>
    <w:rsid w:val="17AE1FA6"/>
    <w:rsid w:val="17B137DE"/>
    <w:rsid w:val="1CEF646F"/>
    <w:rsid w:val="1D8D593D"/>
    <w:rsid w:val="20D97C1B"/>
    <w:rsid w:val="23553F43"/>
    <w:rsid w:val="25064667"/>
    <w:rsid w:val="299664C8"/>
    <w:rsid w:val="370A6918"/>
    <w:rsid w:val="37181792"/>
    <w:rsid w:val="3F28132A"/>
    <w:rsid w:val="436806AE"/>
    <w:rsid w:val="49221B6F"/>
    <w:rsid w:val="5528421A"/>
    <w:rsid w:val="564E51AD"/>
    <w:rsid w:val="60CB5FE3"/>
    <w:rsid w:val="62746126"/>
    <w:rsid w:val="6544153D"/>
    <w:rsid w:val="689C1ACC"/>
    <w:rsid w:val="68CD37BD"/>
    <w:rsid w:val="68ED2A57"/>
    <w:rsid w:val="6C940C35"/>
    <w:rsid w:val="7666385B"/>
    <w:rsid w:val="76B06199"/>
    <w:rsid w:val="7C23376E"/>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0</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2022-10-20T09:41:46Z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